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712A48" w:rsidRPr="0034553C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12A48" w:rsidRPr="0034553C" w:rsidRDefault="003455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712A48" w:rsidRPr="0034553C" w:rsidRDefault="0034553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4553C">
              <w:rPr>
                <w:rFonts w:asciiTheme="minorHAnsi" w:hAnsiTheme="minorHAnsi" w:cstheme="minorHAnsi"/>
                <w:b/>
              </w:rPr>
              <w:t>19302</w:t>
            </w:r>
          </w:p>
        </w:tc>
      </w:tr>
      <w:tr w:rsidR="00712A48" w:rsidRPr="0034553C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12A48" w:rsidRPr="0034553C" w:rsidRDefault="003455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712A48" w:rsidRPr="0034553C" w:rsidRDefault="0034553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4553C">
              <w:rPr>
                <w:rFonts w:asciiTheme="minorHAnsi" w:hAnsiTheme="minorHAnsi" w:cstheme="minorHAnsi"/>
                <w:b/>
              </w:rPr>
              <w:t>SREDNJA STRUKOVNA ŠKOLA</w:t>
            </w:r>
          </w:p>
        </w:tc>
      </w:tr>
      <w:tr w:rsidR="00712A48" w:rsidRPr="0034553C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12A48" w:rsidRPr="0034553C" w:rsidRDefault="003455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712A48" w:rsidRPr="0034553C" w:rsidRDefault="0034553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4553C">
              <w:rPr>
                <w:rFonts w:asciiTheme="minorHAnsi" w:hAnsiTheme="minorHAnsi" w:cstheme="minorHAnsi"/>
                <w:b/>
              </w:rPr>
              <w:t>31</w:t>
            </w:r>
          </w:p>
        </w:tc>
      </w:tr>
    </w:tbl>
    <w:p w:rsidR="00712A48" w:rsidRPr="0034553C" w:rsidRDefault="0034553C">
      <w:pPr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</w:rPr>
        <w:br/>
      </w:r>
      <w:bookmarkStart w:id="0" w:name="_GoBack"/>
      <w:bookmarkEnd w:id="0"/>
    </w:p>
    <w:p w:rsidR="00712A48" w:rsidRPr="0034553C" w:rsidRDefault="0034553C">
      <w:pPr>
        <w:spacing w:line="240" w:lineRule="auto"/>
        <w:jc w:val="center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  <w:b/>
          <w:sz w:val="28"/>
        </w:rPr>
        <w:t>BILJEŠKE UZ FINANCIJSKE IZVJEŠTAJE</w:t>
      </w:r>
    </w:p>
    <w:p w:rsidR="00712A48" w:rsidRPr="0034553C" w:rsidRDefault="0034553C">
      <w:pPr>
        <w:spacing w:line="240" w:lineRule="auto"/>
        <w:jc w:val="center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  <w:b/>
          <w:sz w:val="28"/>
        </w:rPr>
        <w:t>ZA RAZDOBLJE</w:t>
      </w:r>
    </w:p>
    <w:p w:rsidR="00712A48" w:rsidRPr="0034553C" w:rsidRDefault="0034553C">
      <w:pPr>
        <w:spacing w:line="240" w:lineRule="auto"/>
        <w:jc w:val="center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  <w:b/>
          <w:sz w:val="28"/>
        </w:rPr>
        <w:t>I - XII 2025.</w:t>
      </w:r>
    </w:p>
    <w:p w:rsidR="0034553C" w:rsidRPr="0034553C" w:rsidRDefault="0034553C" w:rsidP="0034553C">
      <w:pPr>
        <w:jc w:val="both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</w:rPr>
        <w:t>Srednja strukovna škola posluje u skladu sa Zakonom o odgoju i obrazovanju te Statutom škole. Vodi proračunsko računovodstvo temeljem Pravilnika o proračunskom računovodstvu i Računskom planu, a financijske izvještaje sastavlja i predaje u skladu s odredbama Pravilnika o financijskom izvještavanju u proračunskom računovodstvu.</w:t>
      </w:r>
    </w:p>
    <w:p w:rsidR="0034553C" w:rsidRPr="0034553C" w:rsidRDefault="0034553C" w:rsidP="0034553C">
      <w:pPr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</w:rPr>
        <w:t>Srednja strukovna škola je javna ustanova koja se bavi sljedećim:</w:t>
      </w:r>
    </w:p>
    <w:p w:rsidR="0034553C" w:rsidRPr="0034553C" w:rsidRDefault="0034553C" w:rsidP="0034553C">
      <w:pPr>
        <w:ind w:left="708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</w:rPr>
        <w:t>Odgoj i obrazovanje redovnih učenika za stjecanje srednje i niže stručne spreme u skladu s odobrenjem Ministarstva znanosti i obrazovanja;</w:t>
      </w:r>
      <w:r w:rsidRPr="0034553C">
        <w:rPr>
          <w:rFonts w:asciiTheme="minorHAnsi" w:hAnsiTheme="minorHAnsi" w:cstheme="minorHAnsi"/>
        </w:rPr>
        <w:br/>
        <w:t>Obrazovanje odraslih u programima srednje i niže stručne spreme, prekvalifikacije, usavršavanja i  osposobljenosti u području rada;</w:t>
      </w:r>
      <w:r w:rsidRPr="0034553C">
        <w:rPr>
          <w:rFonts w:asciiTheme="minorHAnsi" w:hAnsiTheme="minorHAnsi" w:cstheme="minorHAnsi"/>
        </w:rPr>
        <w:br/>
        <w:t>Odgoj i obrazovanje učenika s teškoćama u razvoju za stjecanje niže stručne spreme u područjima rada i zanimanjima u skladu s odobrenjem Ministarstva znanosti i obrazovanja;</w:t>
      </w:r>
      <w:r w:rsidRPr="0034553C">
        <w:rPr>
          <w:rFonts w:asciiTheme="minorHAnsi" w:hAnsiTheme="minorHAnsi" w:cstheme="minorHAnsi"/>
        </w:rPr>
        <w:br/>
        <w:t>Proizvodnja i promet predmeta proizvedenih na praktičnoj nastavi i vježbama učenika kao i vlastitog proizvodnog programa;</w:t>
      </w:r>
      <w:r w:rsidRPr="0034553C">
        <w:rPr>
          <w:rFonts w:asciiTheme="minorHAnsi" w:hAnsiTheme="minorHAnsi" w:cstheme="minorHAnsi"/>
        </w:rPr>
        <w:br/>
        <w:t>Proizvodnja i promet predmeta i pružanje usluga „Ogledne zaštitne radionice“;</w:t>
      </w:r>
      <w:r w:rsidRPr="0034553C">
        <w:rPr>
          <w:rFonts w:asciiTheme="minorHAnsi" w:hAnsiTheme="minorHAnsi" w:cstheme="minorHAnsi"/>
        </w:rPr>
        <w:br/>
        <w:t>Proizvodnja, prijenos, distribucija i trgovina električnom energijom</w:t>
      </w:r>
      <w:r w:rsidRPr="0034553C">
        <w:rPr>
          <w:rFonts w:asciiTheme="minorHAnsi" w:hAnsiTheme="minorHAnsi" w:cstheme="minorHAnsi"/>
        </w:rPr>
        <w:br/>
        <w:t> </w:t>
      </w:r>
    </w:p>
    <w:p w:rsidR="0034553C" w:rsidRPr="0034553C" w:rsidRDefault="0034553C" w:rsidP="0034553C">
      <w:pPr>
        <w:jc w:val="both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</w:rPr>
        <w:t>Škola je osnivač Trgovačkog društva Zaštitna radionica Strukovna d.o.o. za zapošljavanje osoba s invaliditetom.</w:t>
      </w:r>
    </w:p>
    <w:p w:rsidR="0034553C" w:rsidRPr="0034553C" w:rsidRDefault="0034553C" w:rsidP="0034553C">
      <w:pPr>
        <w:jc w:val="both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</w:rPr>
        <w:t>Škola provodi programe crtanja i dizajna za učenike osnovnih i srednjih škola u sklopu Centra izvrsnosti iz likovne umjetnosti.</w:t>
      </w:r>
    </w:p>
    <w:p w:rsidR="00712A48" w:rsidRPr="0034553C" w:rsidRDefault="00712A48">
      <w:pPr>
        <w:rPr>
          <w:rFonts w:asciiTheme="minorHAnsi" w:hAnsiTheme="minorHAnsi" w:cstheme="minorHAnsi"/>
        </w:rPr>
      </w:pPr>
    </w:p>
    <w:p w:rsidR="00712A48" w:rsidRPr="0034553C" w:rsidRDefault="0034553C">
      <w:pPr>
        <w:keepNext/>
        <w:spacing w:line="240" w:lineRule="auto"/>
        <w:jc w:val="center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  <w:b/>
          <w:sz w:val="28"/>
        </w:rPr>
        <w:lastRenderedPageBreak/>
        <w:t>Izvještaj o prihodima i rashodima, primicima i izdacima</w:t>
      </w:r>
    </w:p>
    <w:p w:rsidR="00712A48" w:rsidRPr="0034553C" w:rsidRDefault="0034553C">
      <w:pPr>
        <w:keepNext/>
        <w:spacing w:line="240" w:lineRule="auto"/>
        <w:jc w:val="center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 xml:space="preserve">Račun iz </w:t>
            </w:r>
            <w:proofErr w:type="spellStart"/>
            <w:r w:rsidRPr="0034553C">
              <w:rPr>
                <w:rFonts w:asciiTheme="minorHAnsi" w:hAnsiTheme="minorHAnsi" w:cstheme="minorHAnsi"/>
                <w:b/>
                <w:sz w:val="18"/>
              </w:rPr>
              <w:t>rač</w:t>
            </w:r>
            <w:proofErr w:type="spellEnd"/>
            <w:r w:rsidRPr="0034553C">
              <w:rPr>
                <w:rFonts w:asciiTheme="minorHAnsi" w:hAnsiTheme="minorHAnsi" w:cstheme="minorHAnsi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 xml:space="preserve">Ostvareno u </w:t>
            </w:r>
            <w:r w:rsidRPr="0034553C">
              <w:rPr>
                <w:rFonts w:asciiTheme="minorHAnsi" w:hAnsiTheme="minorHAnsi" w:cstheme="minorHAnsi"/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Indeks (%)</w:t>
            </w:r>
          </w:p>
        </w:tc>
      </w:tr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4.346.479,85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4.746.110,41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109,2</w:t>
            </w:r>
          </w:p>
        </w:tc>
      </w:tr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4.242.815,55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4.960.412,95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116,9</w:t>
            </w:r>
          </w:p>
        </w:tc>
      </w:tr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712A48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214.302,54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-</w:t>
            </w:r>
          </w:p>
        </w:tc>
      </w:tr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67,00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0</w:t>
            </w:r>
          </w:p>
        </w:tc>
      </w:tr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91.929,47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80.675,23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87,8</w:t>
            </w:r>
          </w:p>
        </w:tc>
      </w:tr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712A48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91.862,47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80.675,23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87,8</w:t>
            </w:r>
          </w:p>
        </w:tc>
      </w:tr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-</w:t>
            </w:r>
          </w:p>
        </w:tc>
      </w:tr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-</w:t>
            </w:r>
          </w:p>
        </w:tc>
      </w:tr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712A48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-</w:t>
            </w:r>
          </w:p>
        </w:tc>
      </w:tr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712A48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294.977,77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-</w:t>
            </w:r>
          </w:p>
        </w:tc>
      </w:tr>
    </w:tbl>
    <w:p w:rsidR="00712A48" w:rsidRPr="0034553C" w:rsidRDefault="00712A48">
      <w:pPr>
        <w:spacing w:after="0"/>
        <w:rPr>
          <w:rFonts w:asciiTheme="minorHAnsi" w:hAnsiTheme="minorHAnsi" w:cstheme="minorHAnsi"/>
        </w:rPr>
      </w:pPr>
    </w:p>
    <w:p w:rsidR="00712A48" w:rsidRPr="0034553C" w:rsidRDefault="0034553C">
      <w:pPr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</w:rPr>
        <w:br/>
      </w:r>
    </w:p>
    <w:p w:rsidR="00712A48" w:rsidRPr="0034553C" w:rsidRDefault="0034553C">
      <w:pPr>
        <w:keepNext/>
        <w:spacing w:line="240" w:lineRule="auto"/>
        <w:jc w:val="center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 xml:space="preserve">Račun iz </w:t>
            </w:r>
            <w:proofErr w:type="spellStart"/>
            <w:r w:rsidRPr="0034553C">
              <w:rPr>
                <w:rFonts w:asciiTheme="minorHAnsi" w:hAnsiTheme="minorHAnsi" w:cstheme="minorHAnsi"/>
                <w:b/>
                <w:sz w:val="18"/>
              </w:rPr>
              <w:t>rač</w:t>
            </w:r>
            <w:proofErr w:type="spellEnd"/>
            <w:r w:rsidRPr="0034553C">
              <w:rPr>
                <w:rFonts w:asciiTheme="minorHAnsi" w:hAnsiTheme="minorHAnsi" w:cstheme="minorHAnsi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Indeks (%)</w:t>
            </w:r>
          </w:p>
        </w:tc>
      </w:tr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PRIHODI POSLOVANJA</w:t>
            </w:r>
            <w:r w:rsidRPr="0034553C">
              <w:rPr>
                <w:rFonts w:asciiTheme="minorHAnsi" w:hAnsiTheme="minorHAnsi" w:cstheme="minorHAnsi"/>
                <w:sz w:val="18"/>
              </w:rPr>
              <w:t xml:space="preserve">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4.346.479,85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4.746.110,41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109,2</w:t>
            </w:r>
          </w:p>
        </w:tc>
      </w:tr>
    </w:tbl>
    <w:p w:rsidR="00712A48" w:rsidRPr="0034553C" w:rsidRDefault="00712A48">
      <w:pPr>
        <w:spacing w:after="0"/>
        <w:rPr>
          <w:rFonts w:asciiTheme="minorHAnsi" w:hAnsiTheme="minorHAnsi" w:cstheme="minorHAnsi"/>
        </w:rPr>
      </w:pPr>
    </w:p>
    <w:p w:rsidR="00712A48" w:rsidRPr="0034553C" w:rsidRDefault="0034553C" w:rsidP="0034553C">
      <w:pPr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</w:rPr>
        <w:t>Sveukupni prihodi poslovanja u odnosu na isto izvještajno razdoblje prethodne godine veći su za 9%. U strukturi prihoda poslovanja najvećim dijelom participiraju prihodi iskazani na  6361 – Pomoći proračunskim korisnicima iz proračuna koji im nije nadležan</w:t>
      </w:r>
      <w:r w:rsidRPr="0034553C">
        <w:rPr>
          <w:rFonts w:asciiTheme="minorHAnsi" w:hAnsiTheme="minorHAnsi" w:cstheme="minorHAnsi"/>
        </w:rPr>
        <w:t>.</w:t>
      </w:r>
    </w:p>
    <w:p w:rsidR="00712A48" w:rsidRPr="0034553C" w:rsidRDefault="00712A48">
      <w:pPr>
        <w:rPr>
          <w:rFonts w:asciiTheme="minorHAnsi" w:hAnsiTheme="minorHAnsi" w:cstheme="minorHAnsi"/>
        </w:rPr>
      </w:pPr>
    </w:p>
    <w:p w:rsidR="00712A48" w:rsidRPr="0034553C" w:rsidRDefault="0034553C">
      <w:pPr>
        <w:keepNext/>
        <w:spacing w:line="240" w:lineRule="auto"/>
        <w:jc w:val="center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  <w:sz w:val="28"/>
        </w:rPr>
        <w:lastRenderedPageBreak/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 xml:space="preserve">Račun iz </w:t>
            </w:r>
            <w:proofErr w:type="spellStart"/>
            <w:r w:rsidRPr="0034553C">
              <w:rPr>
                <w:rFonts w:asciiTheme="minorHAnsi" w:hAnsiTheme="minorHAnsi" w:cstheme="minorHAnsi"/>
                <w:b/>
                <w:sz w:val="18"/>
              </w:rPr>
              <w:t>rač</w:t>
            </w:r>
            <w:proofErr w:type="spellEnd"/>
            <w:r w:rsidRPr="0034553C">
              <w:rPr>
                <w:rFonts w:asciiTheme="minorHAnsi" w:hAnsiTheme="minorHAnsi" w:cstheme="minorHAnsi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Indeks (%)</w:t>
            </w:r>
          </w:p>
        </w:tc>
      </w:tr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3.133.498,58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3.373.389,97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107,7</w:t>
            </w:r>
          </w:p>
        </w:tc>
      </w:tr>
    </w:tbl>
    <w:p w:rsidR="00712A48" w:rsidRPr="0034553C" w:rsidRDefault="00712A48">
      <w:pPr>
        <w:spacing w:after="0"/>
        <w:rPr>
          <w:rFonts w:asciiTheme="minorHAnsi" w:hAnsiTheme="minorHAnsi" w:cstheme="minorHAnsi"/>
        </w:rPr>
      </w:pPr>
    </w:p>
    <w:p w:rsidR="00712A48" w:rsidRPr="0034553C" w:rsidRDefault="0034553C" w:rsidP="0034553C">
      <w:pPr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</w:rPr>
        <w:t xml:space="preserve">Tekuće pomoći proračunskim korisnicima iz proračuna koji im nije nadležan sadrže prihode od strane Ministarstva znanosti i obrazovanja za isplatu plaća, materijalnih prava zaposlenih i sredstva za naknadu rada vanjskim suradnicima u iznosu od 3.167.535,47 </w:t>
      </w:r>
      <w:proofErr w:type="spellStart"/>
      <w:r w:rsidRPr="0034553C">
        <w:rPr>
          <w:rFonts w:asciiTheme="minorHAnsi" w:hAnsiTheme="minorHAnsi" w:cstheme="minorHAnsi"/>
        </w:rPr>
        <w:t>eur</w:t>
      </w:r>
      <w:proofErr w:type="spellEnd"/>
      <w:r w:rsidRPr="0034553C">
        <w:rPr>
          <w:rFonts w:asciiTheme="minorHAnsi" w:hAnsiTheme="minorHAnsi" w:cstheme="minorHAnsi"/>
        </w:rPr>
        <w:t xml:space="preserve">; sredstva za sufinanciranje nastavnih materijala i opreme za učenike osnovnih i srednjih škola slabijeg imovinskog stanja u iznosu 49,73 </w:t>
      </w:r>
      <w:proofErr w:type="spellStart"/>
      <w:r w:rsidRPr="0034553C">
        <w:rPr>
          <w:rFonts w:asciiTheme="minorHAnsi" w:hAnsiTheme="minorHAnsi" w:cstheme="minorHAnsi"/>
        </w:rPr>
        <w:t>eur</w:t>
      </w:r>
      <w:proofErr w:type="spellEnd"/>
      <w:r w:rsidRPr="0034553C">
        <w:rPr>
          <w:rFonts w:asciiTheme="minorHAnsi" w:hAnsiTheme="minorHAnsi" w:cstheme="minorHAnsi"/>
        </w:rPr>
        <w:t>; bespovratna sredstva osnovnim i srednjim školama za nabavku dijagnostičkih instrumenata u svrhu psihološke, so</w:t>
      </w:r>
      <w:r w:rsidRPr="0034553C">
        <w:rPr>
          <w:rFonts w:asciiTheme="minorHAnsi" w:hAnsiTheme="minorHAnsi" w:cstheme="minorHAnsi"/>
        </w:rPr>
        <w:t xml:space="preserve">cijalno pedagoške, edukacijsko – rehabilitacijske procjene sposobnosti i mentalnog zdravlja učenika u iznosu od 3.039,07 </w:t>
      </w:r>
      <w:proofErr w:type="spellStart"/>
      <w:r w:rsidRPr="0034553C">
        <w:rPr>
          <w:rFonts w:asciiTheme="minorHAnsi" w:hAnsiTheme="minorHAnsi" w:cstheme="minorHAnsi"/>
        </w:rPr>
        <w:t>eur</w:t>
      </w:r>
      <w:proofErr w:type="spellEnd"/>
      <w:r w:rsidRPr="0034553C">
        <w:rPr>
          <w:rFonts w:asciiTheme="minorHAnsi" w:hAnsiTheme="minorHAnsi" w:cstheme="minorHAnsi"/>
        </w:rPr>
        <w:t xml:space="preserve">. Sredstva za opskrbu školskih ustanova besplatnim zalihama menstrualnih higijenskih potrepština u iznosu od 1.950,00 </w:t>
      </w:r>
      <w:proofErr w:type="spellStart"/>
      <w:r w:rsidRPr="0034553C">
        <w:rPr>
          <w:rFonts w:asciiTheme="minorHAnsi" w:hAnsiTheme="minorHAnsi" w:cstheme="minorHAnsi"/>
        </w:rPr>
        <w:t>eur</w:t>
      </w:r>
      <w:proofErr w:type="spellEnd"/>
      <w:r w:rsidRPr="0034553C">
        <w:rPr>
          <w:rFonts w:asciiTheme="minorHAnsi" w:hAnsiTheme="minorHAnsi" w:cstheme="minorHAnsi"/>
        </w:rPr>
        <w:t>. Zatim, na</w:t>
      </w:r>
      <w:r w:rsidRPr="0034553C">
        <w:rPr>
          <w:rFonts w:asciiTheme="minorHAnsi" w:hAnsiTheme="minorHAnsi" w:cstheme="minorHAnsi"/>
        </w:rPr>
        <w:t xml:space="preserve"> ovoj šifri evidentirani su i prihodi od Zavoda za vještačenje, profesionalnu rehabilitaciju i zapošljavanje osoba s invaliditetom za sufinanciranje dijela troškova plaće i prijevoza zaposlenih osoba s invaliditetom u Zaštitnoj radionici škole u iznosu od </w:t>
      </w:r>
      <w:r w:rsidRPr="0034553C">
        <w:rPr>
          <w:rFonts w:asciiTheme="minorHAnsi" w:hAnsiTheme="minorHAnsi" w:cstheme="minorHAnsi"/>
        </w:rPr>
        <w:t xml:space="preserve">200.815,70 </w:t>
      </w:r>
      <w:proofErr w:type="spellStart"/>
      <w:r w:rsidRPr="0034553C">
        <w:rPr>
          <w:rFonts w:asciiTheme="minorHAnsi" w:hAnsiTheme="minorHAnsi" w:cstheme="minorHAnsi"/>
        </w:rPr>
        <w:t>eur</w:t>
      </w:r>
      <w:proofErr w:type="spellEnd"/>
      <w:r w:rsidRPr="0034553C">
        <w:rPr>
          <w:rFonts w:asciiTheme="minorHAnsi" w:hAnsiTheme="minorHAnsi" w:cstheme="minorHAnsi"/>
        </w:rPr>
        <w:t>. </w:t>
      </w:r>
    </w:p>
    <w:p w:rsidR="00712A48" w:rsidRPr="0034553C" w:rsidRDefault="00712A48">
      <w:pPr>
        <w:rPr>
          <w:rFonts w:asciiTheme="minorHAnsi" w:hAnsiTheme="minorHAnsi" w:cstheme="minorHAnsi"/>
        </w:rPr>
      </w:pPr>
    </w:p>
    <w:p w:rsidR="00712A48" w:rsidRPr="0034553C" w:rsidRDefault="0034553C">
      <w:pPr>
        <w:keepNext/>
        <w:spacing w:line="240" w:lineRule="auto"/>
        <w:jc w:val="center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 xml:space="preserve">Račun iz </w:t>
            </w:r>
            <w:proofErr w:type="spellStart"/>
            <w:r w:rsidRPr="0034553C">
              <w:rPr>
                <w:rFonts w:asciiTheme="minorHAnsi" w:hAnsiTheme="minorHAnsi" w:cstheme="minorHAnsi"/>
                <w:b/>
                <w:sz w:val="18"/>
              </w:rPr>
              <w:t>rač</w:t>
            </w:r>
            <w:proofErr w:type="spellEnd"/>
            <w:r w:rsidRPr="0034553C">
              <w:rPr>
                <w:rFonts w:asciiTheme="minorHAnsi" w:hAnsiTheme="minorHAnsi" w:cstheme="minorHAnsi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Indeks (%)</w:t>
            </w:r>
          </w:p>
        </w:tc>
      </w:tr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 xml:space="preserve">Kapitalne pomoći proračunskim korisnicima iz proračuna koji im nije </w:t>
            </w:r>
            <w:r w:rsidRPr="0034553C">
              <w:rPr>
                <w:rFonts w:asciiTheme="minorHAnsi" w:hAnsiTheme="minorHAnsi" w:cstheme="minorHAnsi"/>
                <w:sz w:val="18"/>
              </w:rPr>
              <w:t>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797,00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750,00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94,1</w:t>
            </w:r>
          </w:p>
        </w:tc>
      </w:tr>
    </w:tbl>
    <w:p w:rsidR="00712A48" w:rsidRPr="0034553C" w:rsidRDefault="00712A48">
      <w:pPr>
        <w:spacing w:after="0"/>
        <w:rPr>
          <w:rFonts w:asciiTheme="minorHAnsi" w:hAnsiTheme="minorHAnsi" w:cstheme="minorHAnsi"/>
        </w:rPr>
      </w:pPr>
    </w:p>
    <w:p w:rsidR="00712A48" w:rsidRPr="0034553C" w:rsidRDefault="0034553C" w:rsidP="0034553C">
      <w:pPr>
        <w:jc w:val="both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</w:rPr>
        <w:t xml:space="preserve">Kapitalne pomoći proračunskim korisnicima iz proračuna koji im nije nadležan odnose se na sredstva primljena od MZO za nabavu lektira za školsku knjižnicu u iznosu od 750,00 </w:t>
      </w:r>
      <w:proofErr w:type="spellStart"/>
      <w:r w:rsidRPr="0034553C">
        <w:rPr>
          <w:rFonts w:asciiTheme="minorHAnsi" w:hAnsiTheme="minorHAnsi" w:cstheme="minorHAnsi"/>
        </w:rPr>
        <w:t>eur</w:t>
      </w:r>
      <w:proofErr w:type="spellEnd"/>
      <w:r w:rsidRPr="0034553C">
        <w:rPr>
          <w:rFonts w:asciiTheme="minorHAnsi" w:hAnsiTheme="minorHAnsi" w:cstheme="minorHAnsi"/>
        </w:rPr>
        <w:t>. Za navedeni iznos provedena je obvezna korekcija rezultata te je u bilanci is</w:t>
      </w:r>
      <w:r w:rsidRPr="0034553C">
        <w:rPr>
          <w:rFonts w:asciiTheme="minorHAnsi" w:hAnsiTheme="minorHAnsi" w:cstheme="minorHAnsi"/>
        </w:rPr>
        <w:t>kazan korigiran rezultat poslovanja.</w:t>
      </w:r>
    </w:p>
    <w:p w:rsidR="00712A48" w:rsidRPr="0034553C" w:rsidRDefault="00712A48">
      <w:pPr>
        <w:rPr>
          <w:rFonts w:asciiTheme="minorHAnsi" w:hAnsiTheme="minorHAnsi" w:cstheme="minorHAnsi"/>
        </w:rPr>
      </w:pPr>
    </w:p>
    <w:p w:rsidR="00712A48" w:rsidRPr="0034553C" w:rsidRDefault="0034553C">
      <w:pPr>
        <w:keepNext/>
        <w:spacing w:line="240" w:lineRule="auto"/>
        <w:jc w:val="center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 xml:space="preserve">Račun iz </w:t>
            </w:r>
            <w:proofErr w:type="spellStart"/>
            <w:r w:rsidRPr="0034553C">
              <w:rPr>
                <w:rFonts w:asciiTheme="minorHAnsi" w:hAnsiTheme="minorHAnsi" w:cstheme="minorHAnsi"/>
                <w:b/>
                <w:sz w:val="18"/>
              </w:rPr>
              <w:t>rač</w:t>
            </w:r>
            <w:proofErr w:type="spellEnd"/>
            <w:r w:rsidRPr="0034553C">
              <w:rPr>
                <w:rFonts w:asciiTheme="minorHAnsi" w:hAnsiTheme="minorHAnsi" w:cstheme="minorHAnsi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Indeks (%)</w:t>
            </w:r>
          </w:p>
        </w:tc>
      </w:tr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15.173,90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7.315,80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48,2</w:t>
            </w:r>
          </w:p>
        </w:tc>
      </w:tr>
    </w:tbl>
    <w:p w:rsidR="00712A48" w:rsidRPr="0034553C" w:rsidRDefault="00712A48">
      <w:pPr>
        <w:spacing w:after="0"/>
        <w:rPr>
          <w:rFonts w:asciiTheme="minorHAnsi" w:hAnsiTheme="minorHAnsi" w:cstheme="minorHAnsi"/>
        </w:rPr>
      </w:pPr>
    </w:p>
    <w:p w:rsidR="00712A48" w:rsidRPr="0034553C" w:rsidRDefault="0034553C" w:rsidP="0034553C">
      <w:pPr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</w:rPr>
        <w:t xml:space="preserve">Tekuće pomoći temeljem prijenosa EU sredstava odnose se na prihode po Erasmus+ </w:t>
      </w:r>
      <w:proofErr w:type="spellStart"/>
      <w:r w:rsidRPr="0034553C">
        <w:rPr>
          <w:rFonts w:asciiTheme="minorHAnsi" w:hAnsiTheme="minorHAnsi" w:cstheme="minorHAnsi"/>
        </w:rPr>
        <w:t>projektU</w:t>
      </w:r>
      <w:proofErr w:type="spellEnd"/>
      <w:r w:rsidRPr="0034553C">
        <w:rPr>
          <w:rFonts w:asciiTheme="minorHAnsi" w:hAnsiTheme="minorHAnsi" w:cstheme="minorHAnsi"/>
        </w:rPr>
        <w:t xml:space="preserve"> u kojem je škola sudjelovala kao partner. Iznos od 7.315,80 </w:t>
      </w:r>
      <w:proofErr w:type="spellStart"/>
      <w:r w:rsidRPr="0034553C">
        <w:rPr>
          <w:rFonts w:asciiTheme="minorHAnsi" w:hAnsiTheme="minorHAnsi" w:cstheme="minorHAnsi"/>
        </w:rPr>
        <w:t>eur</w:t>
      </w:r>
      <w:proofErr w:type="spellEnd"/>
      <w:r w:rsidRPr="0034553C">
        <w:rPr>
          <w:rFonts w:asciiTheme="minorHAnsi" w:hAnsiTheme="minorHAnsi" w:cstheme="minorHAnsi"/>
        </w:rPr>
        <w:t xml:space="preserve"> primljen je za </w:t>
      </w:r>
      <w:r w:rsidRPr="0034553C">
        <w:rPr>
          <w:rFonts w:asciiTheme="minorHAnsi" w:hAnsiTheme="minorHAnsi" w:cstheme="minorHAnsi"/>
        </w:rPr>
        <w:lastRenderedPageBreak/>
        <w:t xml:space="preserve">provedbu Erasmus + projekta „Digital </w:t>
      </w:r>
      <w:proofErr w:type="spellStart"/>
      <w:r w:rsidRPr="0034553C">
        <w:rPr>
          <w:rFonts w:asciiTheme="minorHAnsi" w:hAnsiTheme="minorHAnsi" w:cstheme="minorHAnsi"/>
        </w:rPr>
        <w:t>literacy</w:t>
      </w:r>
      <w:proofErr w:type="spellEnd"/>
      <w:r w:rsidRPr="0034553C">
        <w:rPr>
          <w:rFonts w:asciiTheme="minorHAnsi" w:hAnsiTheme="minorHAnsi" w:cstheme="minorHAnsi"/>
        </w:rPr>
        <w:t xml:space="preserve"> – </w:t>
      </w:r>
      <w:proofErr w:type="spellStart"/>
      <w:r w:rsidRPr="0034553C">
        <w:rPr>
          <w:rFonts w:asciiTheme="minorHAnsi" w:hAnsiTheme="minorHAnsi" w:cstheme="minorHAnsi"/>
        </w:rPr>
        <w:t>readness</w:t>
      </w:r>
      <w:proofErr w:type="spellEnd"/>
      <w:r w:rsidRPr="0034553C">
        <w:rPr>
          <w:rFonts w:asciiTheme="minorHAnsi" w:hAnsiTheme="minorHAnsi" w:cstheme="minorHAnsi"/>
        </w:rPr>
        <w:t xml:space="preserve"> 4ALL“ te je projekt završen zadn</w:t>
      </w:r>
      <w:r w:rsidRPr="0034553C">
        <w:rPr>
          <w:rFonts w:asciiTheme="minorHAnsi" w:hAnsiTheme="minorHAnsi" w:cstheme="minorHAnsi"/>
        </w:rPr>
        <w:t>jom uplatom.</w:t>
      </w:r>
    </w:p>
    <w:p w:rsidR="00712A48" w:rsidRPr="0034553C" w:rsidRDefault="00712A48">
      <w:pPr>
        <w:rPr>
          <w:rFonts w:asciiTheme="minorHAnsi" w:hAnsiTheme="minorHAnsi" w:cstheme="minorHAnsi"/>
        </w:rPr>
      </w:pPr>
    </w:p>
    <w:p w:rsidR="00712A48" w:rsidRPr="0034553C" w:rsidRDefault="0034553C">
      <w:pPr>
        <w:keepNext/>
        <w:spacing w:line="240" w:lineRule="auto"/>
        <w:jc w:val="center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 xml:space="preserve">Račun iz </w:t>
            </w:r>
            <w:proofErr w:type="spellStart"/>
            <w:r w:rsidRPr="0034553C">
              <w:rPr>
                <w:rFonts w:asciiTheme="minorHAnsi" w:hAnsiTheme="minorHAnsi" w:cstheme="minorHAnsi"/>
                <w:b/>
                <w:sz w:val="18"/>
              </w:rPr>
              <w:t>rač</w:t>
            </w:r>
            <w:proofErr w:type="spellEnd"/>
            <w:r w:rsidRPr="0034553C">
              <w:rPr>
                <w:rFonts w:asciiTheme="minorHAnsi" w:hAnsiTheme="minorHAnsi" w:cstheme="minorHAnsi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Indeks (%)</w:t>
            </w:r>
          </w:p>
        </w:tc>
      </w:tr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6391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Tekući prijenosi između proračunskih korisnika istog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6391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16.355,90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31.986,61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195,6</w:t>
            </w:r>
          </w:p>
        </w:tc>
      </w:tr>
    </w:tbl>
    <w:p w:rsidR="00712A48" w:rsidRPr="0034553C" w:rsidRDefault="00712A48">
      <w:pPr>
        <w:spacing w:after="0"/>
        <w:rPr>
          <w:rFonts w:asciiTheme="minorHAnsi" w:hAnsiTheme="minorHAnsi" w:cstheme="minorHAnsi"/>
        </w:rPr>
      </w:pPr>
    </w:p>
    <w:p w:rsidR="00712A48" w:rsidRPr="0034553C" w:rsidRDefault="0034553C" w:rsidP="0034553C">
      <w:pPr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</w:rPr>
        <w:t>Tekući prijenosi između proračunskih korisnika istog proračuna odnosi se na projekt „I ti možeš“– osiguranje asistenata u nastavi te su na ovom kontu knjiženi troškovi plaća asistenata koji su primljeni od Osnivača – Varaždinske županije.</w:t>
      </w:r>
    </w:p>
    <w:p w:rsidR="00712A48" w:rsidRPr="0034553C" w:rsidRDefault="00712A48">
      <w:pPr>
        <w:rPr>
          <w:rFonts w:asciiTheme="minorHAnsi" w:hAnsiTheme="minorHAnsi" w:cstheme="minorHAnsi"/>
        </w:rPr>
      </w:pPr>
    </w:p>
    <w:p w:rsidR="00712A48" w:rsidRPr="0034553C" w:rsidRDefault="0034553C">
      <w:pPr>
        <w:keepNext/>
        <w:spacing w:line="240" w:lineRule="auto"/>
        <w:jc w:val="center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Raču</w:t>
            </w:r>
            <w:r w:rsidRPr="0034553C">
              <w:rPr>
                <w:rFonts w:asciiTheme="minorHAnsi" w:hAnsiTheme="minorHAnsi" w:cstheme="minorHAnsi"/>
                <w:b/>
                <w:sz w:val="18"/>
              </w:rPr>
              <w:t xml:space="preserve">n iz </w:t>
            </w:r>
            <w:proofErr w:type="spellStart"/>
            <w:r w:rsidRPr="0034553C">
              <w:rPr>
                <w:rFonts w:asciiTheme="minorHAnsi" w:hAnsiTheme="minorHAnsi" w:cstheme="minorHAnsi"/>
                <w:b/>
                <w:sz w:val="18"/>
              </w:rPr>
              <w:t>rač</w:t>
            </w:r>
            <w:proofErr w:type="spellEnd"/>
            <w:r w:rsidRPr="0034553C">
              <w:rPr>
                <w:rFonts w:asciiTheme="minorHAnsi" w:hAnsiTheme="minorHAnsi" w:cstheme="minorHAnsi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Indeks (%)</w:t>
            </w:r>
          </w:p>
        </w:tc>
      </w:tr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6393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Tekući prijenosi između proračunskih korisnika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6393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30.417,21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44.107,39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145,0</w:t>
            </w:r>
          </w:p>
        </w:tc>
      </w:tr>
    </w:tbl>
    <w:p w:rsidR="00712A48" w:rsidRPr="0034553C" w:rsidRDefault="00712A48">
      <w:pPr>
        <w:spacing w:after="0"/>
        <w:rPr>
          <w:rFonts w:asciiTheme="minorHAnsi" w:hAnsiTheme="minorHAnsi" w:cstheme="minorHAnsi"/>
        </w:rPr>
      </w:pPr>
    </w:p>
    <w:p w:rsidR="00712A48" w:rsidRPr="0034553C" w:rsidRDefault="0034553C" w:rsidP="0034553C">
      <w:pPr>
        <w:jc w:val="both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</w:rPr>
        <w:t xml:space="preserve">Tekući prijenosi između proračunskih korisnika istog proračuna odnose se na prihode za provedbu projekta za osiguravanje pomoćnika u nastavi „I ti možeš“. Prihodi po toj osnovi primljeni su od Osnivača – Varaždinske županije u iznosu 44.107,39 </w:t>
      </w:r>
      <w:proofErr w:type="spellStart"/>
      <w:r w:rsidRPr="0034553C">
        <w:rPr>
          <w:rFonts w:asciiTheme="minorHAnsi" w:hAnsiTheme="minorHAnsi" w:cstheme="minorHAnsi"/>
        </w:rPr>
        <w:t>eur</w:t>
      </w:r>
      <w:proofErr w:type="spellEnd"/>
      <w:r w:rsidRPr="0034553C">
        <w:rPr>
          <w:rFonts w:asciiTheme="minorHAnsi" w:hAnsiTheme="minorHAnsi" w:cstheme="minorHAnsi"/>
        </w:rPr>
        <w:t>.</w:t>
      </w:r>
    </w:p>
    <w:p w:rsidR="00712A48" w:rsidRPr="0034553C" w:rsidRDefault="00712A48">
      <w:pPr>
        <w:rPr>
          <w:rFonts w:asciiTheme="minorHAnsi" w:hAnsiTheme="minorHAnsi" w:cstheme="minorHAnsi"/>
        </w:rPr>
      </w:pPr>
    </w:p>
    <w:p w:rsidR="00712A48" w:rsidRPr="0034553C" w:rsidRDefault="0034553C">
      <w:pPr>
        <w:keepNext/>
        <w:spacing w:line="240" w:lineRule="auto"/>
        <w:jc w:val="center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  <w:sz w:val="28"/>
        </w:rPr>
        <w:t>Bilješ</w:t>
      </w:r>
      <w:r w:rsidRPr="0034553C">
        <w:rPr>
          <w:rFonts w:asciiTheme="minorHAnsi" w:hAnsiTheme="minorHAnsi" w:cstheme="minorHAnsi"/>
          <w:sz w:val="28"/>
        </w:rPr>
        <w:t>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 xml:space="preserve">Račun iz </w:t>
            </w:r>
            <w:proofErr w:type="spellStart"/>
            <w:r w:rsidRPr="0034553C">
              <w:rPr>
                <w:rFonts w:asciiTheme="minorHAnsi" w:hAnsiTheme="minorHAnsi" w:cstheme="minorHAnsi"/>
                <w:b/>
                <w:sz w:val="18"/>
              </w:rPr>
              <w:t>rač</w:t>
            </w:r>
            <w:proofErr w:type="spellEnd"/>
            <w:r w:rsidRPr="0034553C">
              <w:rPr>
                <w:rFonts w:asciiTheme="minorHAnsi" w:hAnsiTheme="minorHAnsi" w:cstheme="minorHAnsi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Indeks (%)</w:t>
            </w:r>
          </w:p>
        </w:tc>
      </w:tr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586.991,83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672.561,17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114,6</w:t>
            </w:r>
          </w:p>
        </w:tc>
      </w:tr>
    </w:tbl>
    <w:p w:rsidR="00712A48" w:rsidRPr="0034553C" w:rsidRDefault="00712A48">
      <w:pPr>
        <w:spacing w:after="0"/>
        <w:rPr>
          <w:rFonts w:asciiTheme="minorHAnsi" w:hAnsiTheme="minorHAnsi" w:cstheme="minorHAnsi"/>
        </w:rPr>
      </w:pPr>
    </w:p>
    <w:p w:rsidR="00712A48" w:rsidRPr="0034553C" w:rsidRDefault="0034553C" w:rsidP="0034553C">
      <w:pPr>
        <w:jc w:val="both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</w:rPr>
        <w:t xml:space="preserve">Prihodi od prodaje proizvoda i robe i prihodi od pruženih usluga ostvareni su za 15% više u odnosu na prethodnu godinu. Škola sudjeluje na tržištu te ostvaruje prihode od prodaje proizvoda i roba proizvedenih u Zaštitnoj radionici te školskim praktikumima </w:t>
      </w:r>
      <w:r w:rsidRPr="0034553C">
        <w:rPr>
          <w:rFonts w:asciiTheme="minorHAnsi" w:hAnsiTheme="minorHAnsi" w:cstheme="minorHAnsi"/>
        </w:rPr>
        <w:t>te je taj prihod ostvaren za 10% više u odnosu na prethodnu godinu. Prihodi od pruženih usluga odnose na prihode od zakupa školske sportske dvorane i prihode za pružanje usluga obrazovanja odraslih, posebno u 2025. godini prihod se odnosi na obrazovanje od</w:t>
      </w:r>
      <w:r w:rsidRPr="0034553C">
        <w:rPr>
          <w:rFonts w:asciiTheme="minorHAnsi" w:hAnsiTheme="minorHAnsi" w:cstheme="minorHAnsi"/>
        </w:rPr>
        <w:t>raslih za Operativnog djelatnika, a sredstva su ostvarena preko vaučera HZZ-a.</w:t>
      </w:r>
    </w:p>
    <w:p w:rsidR="00712A48" w:rsidRPr="0034553C" w:rsidRDefault="00712A48">
      <w:pPr>
        <w:rPr>
          <w:rFonts w:asciiTheme="minorHAnsi" w:hAnsiTheme="minorHAnsi" w:cstheme="minorHAnsi"/>
        </w:rPr>
      </w:pPr>
    </w:p>
    <w:p w:rsidR="00712A48" w:rsidRPr="0034553C" w:rsidRDefault="0034553C">
      <w:pPr>
        <w:keepNext/>
        <w:spacing w:line="240" w:lineRule="auto"/>
        <w:jc w:val="center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 xml:space="preserve">Račun iz </w:t>
            </w:r>
            <w:proofErr w:type="spellStart"/>
            <w:r w:rsidRPr="0034553C">
              <w:rPr>
                <w:rFonts w:asciiTheme="minorHAnsi" w:hAnsiTheme="minorHAnsi" w:cstheme="minorHAnsi"/>
                <w:b/>
                <w:sz w:val="18"/>
              </w:rPr>
              <w:t>rač</w:t>
            </w:r>
            <w:proofErr w:type="spellEnd"/>
            <w:r w:rsidRPr="0034553C">
              <w:rPr>
                <w:rFonts w:asciiTheme="minorHAnsi" w:hAnsiTheme="minorHAnsi" w:cstheme="minorHAnsi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Indeks (%)</w:t>
            </w:r>
          </w:p>
        </w:tc>
      </w:tr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 xml:space="preserve">Prihodi </w:t>
            </w:r>
            <w:r w:rsidRPr="0034553C">
              <w:rPr>
                <w:rFonts w:asciiTheme="minorHAnsi" w:hAnsiTheme="minorHAnsi" w:cstheme="minorHAnsi"/>
                <w:sz w:val="18"/>
              </w:rPr>
              <w:t>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554.647,73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610.778,87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110,1</w:t>
            </w:r>
          </w:p>
        </w:tc>
      </w:tr>
    </w:tbl>
    <w:p w:rsidR="00712A48" w:rsidRPr="0034553C" w:rsidRDefault="00712A48">
      <w:pPr>
        <w:spacing w:after="0"/>
        <w:rPr>
          <w:rFonts w:asciiTheme="minorHAnsi" w:hAnsiTheme="minorHAnsi" w:cstheme="minorHAnsi"/>
        </w:rPr>
      </w:pPr>
    </w:p>
    <w:p w:rsidR="00712A48" w:rsidRPr="0034553C" w:rsidRDefault="0034553C" w:rsidP="0034553C">
      <w:pPr>
        <w:jc w:val="both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</w:rPr>
        <w:t xml:space="preserve">Prihodi iz nadležnog proračuna sadrže prihode od strane osnivača za pokrivanje rashoda poslovanja za decentralizirane funkcije prema zakonskom standardu u ukupnom iznosu 457.720,37 </w:t>
      </w:r>
      <w:proofErr w:type="spellStart"/>
      <w:r w:rsidRPr="0034553C">
        <w:rPr>
          <w:rFonts w:asciiTheme="minorHAnsi" w:hAnsiTheme="minorHAnsi" w:cstheme="minorHAnsi"/>
        </w:rPr>
        <w:t>eur</w:t>
      </w:r>
      <w:proofErr w:type="spellEnd"/>
      <w:r w:rsidRPr="0034553C">
        <w:rPr>
          <w:rFonts w:asciiTheme="minorHAnsi" w:hAnsiTheme="minorHAnsi" w:cstheme="minorHAnsi"/>
        </w:rPr>
        <w:t>. Za javne potrebe u obrazovanju iznad zakonskog standarda ostvaren je p</w:t>
      </w:r>
      <w:r w:rsidRPr="0034553C">
        <w:rPr>
          <w:rFonts w:asciiTheme="minorHAnsi" w:hAnsiTheme="minorHAnsi" w:cstheme="minorHAnsi"/>
        </w:rPr>
        <w:t xml:space="preserve">rihod u iznosu od 153.058,50 </w:t>
      </w:r>
      <w:proofErr w:type="spellStart"/>
      <w:r w:rsidRPr="0034553C">
        <w:rPr>
          <w:rFonts w:asciiTheme="minorHAnsi" w:hAnsiTheme="minorHAnsi" w:cstheme="minorHAnsi"/>
        </w:rPr>
        <w:t>eur</w:t>
      </w:r>
      <w:proofErr w:type="spellEnd"/>
      <w:r w:rsidRPr="0034553C">
        <w:rPr>
          <w:rFonts w:asciiTheme="minorHAnsi" w:hAnsiTheme="minorHAnsi" w:cstheme="minorHAnsi"/>
        </w:rPr>
        <w:t xml:space="preserve"> za troškove Centra izvrsnosti, programa u školstvu iznad zakonskog standarda, prehranu učenika, građanski odgoj i zaštitnu radionicu. Od ukupnog iznosa prihoda iz nadležnog proračuna, prihod od 66.573,24 </w:t>
      </w:r>
      <w:proofErr w:type="spellStart"/>
      <w:r w:rsidRPr="0034553C">
        <w:rPr>
          <w:rFonts w:asciiTheme="minorHAnsi" w:hAnsiTheme="minorHAnsi" w:cstheme="minorHAnsi"/>
        </w:rPr>
        <w:t>eur</w:t>
      </w:r>
      <w:proofErr w:type="spellEnd"/>
      <w:r w:rsidRPr="0034553C">
        <w:rPr>
          <w:rFonts w:asciiTheme="minorHAnsi" w:hAnsiTheme="minorHAnsi" w:cstheme="minorHAnsi"/>
        </w:rPr>
        <w:t xml:space="preserve"> ostvaren je za </w:t>
      </w:r>
      <w:r w:rsidRPr="0034553C">
        <w:rPr>
          <w:rFonts w:asciiTheme="minorHAnsi" w:hAnsiTheme="minorHAnsi" w:cstheme="minorHAnsi"/>
        </w:rPr>
        <w:t>nabavu nefinancijske imovine (računalna oprema, namještaj, sportska oprema) te će se provedbom obvezne korekcije u bilanci za taj iznos iskazati korigirani rezultati poslovanja.</w:t>
      </w:r>
    </w:p>
    <w:p w:rsidR="00712A48" w:rsidRPr="0034553C" w:rsidRDefault="00712A48">
      <w:pPr>
        <w:rPr>
          <w:rFonts w:asciiTheme="minorHAnsi" w:hAnsiTheme="minorHAnsi" w:cstheme="minorHAnsi"/>
        </w:rPr>
      </w:pPr>
    </w:p>
    <w:p w:rsidR="00712A48" w:rsidRPr="0034553C" w:rsidRDefault="0034553C">
      <w:pPr>
        <w:keepNext/>
        <w:spacing w:line="240" w:lineRule="auto"/>
        <w:jc w:val="center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 xml:space="preserve">Račun iz </w:t>
            </w:r>
            <w:proofErr w:type="spellStart"/>
            <w:r w:rsidRPr="0034553C">
              <w:rPr>
                <w:rFonts w:asciiTheme="minorHAnsi" w:hAnsiTheme="minorHAnsi" w:cstheme="minorHAnsi"/>
                <w:b/>
                <w:sz w:val="18"/>
              </w:rPr>
              <w:t>rač</w:t>
            </w:r>
            <w:proofErr w:type="spellEnd"/>
            <w:r w:rsidRPr="0034553C">
              <w:rPr>
                <w:rFonts w:asciiTheme="minorHAnsi" w:hAnsiTheme="minorHAnsi" w:cstheme="minorHAnsi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Ostvareno u izvještajnom r</w:t>
            </w:r>
            <w:r w:rsidRPr="0034553C">
              <w:rPr>
                <w:rFonts w:asciiTheme="minorHAnsi" w:hAnsiTheme="minorHAnsi" w:cstheme="minorHAnsi"/>
                <w:b/>
                <w:sz w:val="18"/>
              </w:rPr>
              <w:t>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Indeks (%)</w:t>
            </w:r>
          </w:p>
        </w:tc>
      </w:tr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3.539.317,42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4.268.616,23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120,6</w:t>
            </w:r>
          </w:p>
        </w:tc>
      </w:tr>
    </w:tbl>
    <w:p w:rsidR="00712A48" w:rsidRPr="0034553C" w:rsidRDefault="00712A48">
      <w:pPr>
        <w:spacing w:after="0"/>
        <w:rPr>
          <w:rFonts w:asciiTheme="minorHAnsi" w:hAnsiTheme="minorHAnsi" w:cstheme="minorHAnsi"/>
        </w:rPr>
      </w:pPr>
    </w:p>
    <w:p w:rsidR="00712A48" w:rsidRPr="0034553C" w:rsidRDefault="0034553C" w:rsidP="0034553C">
      <w:pPr>
        <w:jc w:val="both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</w:rPr>
        <w:t>Rashodi za zaposlene povećani su u odnosu na prethodnu godinu za 20% , a najvećim dijelom zbog povećanja broja zaposlenih preko MZO, rasta osnovice za isplatu plaće zaposlenima u javnim službama te povećanja iznosa temeljem potpisanih kolektivnih ugovora z</w:t>
      </w:r>
      <w:r w:rsidRPr="0034553C">
        <w:rPr>
          <w:rFonts w:asciiTheme="minorHAnsi" w:hAnsiTheme="minorHAnsi" w:cstheme="minorHAnsi"/>
        </w:rPr>
        <w:t>a isplatu materijalnih prava u javnim službama.</w:t>
      </w:r>
    </w:p>
    <w:p w:rsidR="00712A48" w:rsidRPr="0034553C" w:rsidRDefault="00712A48">
      <w:pPr>
        <w:rPr>
          <w:rFonts w:asciiTheme="minorHAnsi" w:hAnsiTheme="minorHAnsi" w:cstheme="minorHAnsi"/>
        </w:rPr>
      </w:pPr>
    </w:p>
    <w:p w:rsidR="00712A48" w:rsidRPr="0034553C" w:rsidRDefault="0034553C">
      <w:pPr>
        <w:keepNext/>
        <w:spacing w:line="240" w:lineRule="auto"/>
        <w:jc w:val="center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 xml:space="preserve">Račun iz </w:t>
            </w:r>
            <w:proofErr w:type="spellStart"/>
            <w:r w:rsidRPr="0034553C">
              <w:rPr>
                <w:rFonts w:asciiTheme="minorHAnsi" w:hAnsiTheme="minorHAnsi" w:cstheme="minorHAnsi"/>
                <w:b/>
                <w:sz w:val="18"/>
              </w:rPr>
              <w:t>rač</w:t>
            </w:r>
            <w:proofErr w:type="spellEnd"/>
            <w:r w:rsidRPr="0034553C">
              <w:rPr>
                <w:rFonts w:asciiTheme="minorHAnsi" w:hAnsiTheme="minorHAnsi" w:cstheme="minorHAnsi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Indeks (%)</w:t>
            </w:r>
          </w:p>
        </w:tc>
      </w:tr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 xml:space="preserve">Rashodi za materijal i energiju (šifre </w:t>
            </w:r>
            <w:r w:rsidRPr="0034553C">
              <w:rPr>
                <w:rFonts w:asciiTheme="minorHAnsi" w:hAnsiTheme="minorHAnsi" w:cstheme="minorHAnsi"/>
                <w:sz w:val="18"/>
              </w:rPr>
              <w:t>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316.791,86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314.823,61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99,4</w:t>
            </w:r>
          </w:p>
        </w:tc>
      </w:tr>
    </w:tbl>
    <w:p w:rsidR="00712A48" w:rsidRPr="0034553C" w:rsidRDefault="00712A48">
      <w:pPr>
        <w:spacing w:after="0"/>
        <w:rPr>
          <w:rFonts w:asciiTheme="minorHAnsi" w:hAnsiTheme="minorHAnsi" w:cstheme="minorHAnsi"/>
        </w:rPr>
      </w:pPr>
    </w:p>
    <w:p w:rsidR="00712A48" w:rsidRPr="0034553C" w:rsidRDefault="0034553C" w:rsidP="0034553C">
      <w:pPr>
        <w:jc w:val="both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</w:rPr>
        <w:t>Iznos materijalnih rashoda  u odnosu na isto izvještajno razdoblje prošle godine smanjen je za 1 %. U strukturi materijalnih rashoda najvećim dijelom sudjeluju troškovi materijala i sirovina za potrebe gospodarske djelatnosti školskih praktikuma i Zaštitne</w:t>
      </w:r>
      <w:r w:rsidRPr="0034553C">
        <w:rPr>
          <w:rFonts w:asciiTheme="minorHAnsi" w:hAnsiTheme="minorHAnsi" w:cstheme="minorHAnsi"/>
        </w:rPr>
        <w:t xml:space="preserve"> radionice, te također troškovi energenata. Rashodi za investicijsko održavanje odnose se na redovno održavanje zgrade škole i radionica.</w:t>
      </w:r>
    </w:p>
    <w:p w:rsidR="00712A48" w:rsidRPr="0034553C" w:rsidRDefault="00712A48">
      <w:pPr>
        <w:rPr>
          <w:rFonts w:asciiTheme="minorHAnsi" w:hAnsiTheme="minorHAnsi" w:cstheme="minorHAnsi"/>
        </w:rPr>
      </w:pPr>
    </w:p>
    <w:p w:rsidR="00712A48" w:rsidRPr="0034553C" w:rsidRDefault="0034553C">
      <w:pPr>
        <w:keepNext/>
        <w:spacing w:line="240" w:lineRule="auto"/>
        <w:jc w:val="center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 xml:space="preserve">Račun iz </w:t>
            </w:r>
            <w:proofErr w:type="spellStart"/>
            <w:r w:rsidRPr="0034553C">
              <w:rPr>
                <w:rFonts w:asciiTheme="minorHAnsi" w:hAnsiTheme="minorHAnsi" w:cstheme="minorHAnsi"/>
                <w:b/>
                <w:sz w:val="18"/>
              </w:rPr>
              <w:t>rač</w:t>
            </w:r>
            <w:proofErr w:type="spellEnd"/>
            <w:r w:rsidRPr="0034553C">
              <w:rPr>
                <w:rFonts w:asciiTheme="minorHAnsi" w:hAnsiTheme="minorHAnsi" w:cstheme="minorHAnsi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Ostvareno u iz</w:t>
            </w:r>
            <w:r w:rsidRPr="0034553C">
              <w:rPr>
                <w:rFonts w:asciiTheme="minorHAnsi" w:hAnsiTheme="minorHAnsi" w:cstheme="minorHAnsi"/>
                <w:b/>
                <w:sz w:val="18"/>
              </w:rPr>
              <w:t>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Indeks (%)</w:t>
            </w:r>
          </w:p>
        </w:tc>
      </w:tr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169.286,58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194.801,38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115,1</w:t>
            </w:r>
          </w:p>
        </w:tc>
      </w:tr>
    </w:tbl>
    <w:p w:rsidR="00712A48" w:rsidRPr="0034553C" w:rsidRDefault="00712A48">
      <w:pPr>
        <w:spacing w:after="0"/>
        <w:rPr>
          <w:rFonts w:asciiTheme="minorHAnsi" w:hAnsiTheme="minorHAnsi" w:cstheme="minorHAnsi"/>
        </w:rPr>
      </w:pPr>
    </w:p>
    <w:p w:rsidR="00712A48" w:rsidRPr="0034553C" w:rsidRDefault="0034553C" w:rsidP="0034553C">
      <w:pPr>
        <w:jc w:val="both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</w:rPr>
        <w:t xml:space="preserve">Rashodi za usluge povećani su u odnosu na prethodno razdoblje za 15%. U rashodima za usluge velik dio rashoda odnosi se na naknadu za energetsku uslugu, odnosno otplatu rata prema HBOR-u za energetsku obnovu zgrade škole koja za 2025. godinu iznosi ukupno </w:t>
      </w:r>
      <w:r w:rsidRPr="0034553C">
        <w:rPr>
          <w:rFonts w:asciiTheme="minorHAnsi" w:hAnsiTheme="minorHAnsi" w:cstheme="minorHAnsi"/>
        </w:rPr>
        <w:t xml:space="preserve">64.045,56 </w:t>
      </w:r>
      <w:proofErr w:type="spellStart"/>
      <w:r w:rsidRPr="0034553C">
        <w:rPr>
          <w:rFonts w:asciiTheme="minorHAnsi" w:hAnsiTheme="minorHAnsi" w:cstheme="minorHAnsi"/>
        </w:rPr>
        <w:t>eur</w:t>
      </w:r>
      <w:proofErr w:type="spellEnd"/>
      <w:r w:rsidRPr="0034553C">
        <w:rPr>
          <w:rFonts w:asciiTheme="minorHAnsi" w:hAnsiTheme="minorHAnsi" w:cstheme="minorHAnsi"/>
        </w:rPr>
        <w:t>. Također, povećanje u odnosu na prethodnu godinu odnosi se na isplatu naknade vanjskim suradnicima za provođenje obrazovanja odraslih za zanimanje operativnog djelatnika.</w:t>
      </w:r>
    </w:p>
    <w:p w:rsidR="00712A48" w:rsidRPr="0034553C" w:rsidRDefault="00712A48">
      <w:pPr>
        <w:rPr>
          <w:rFonts w:asciiTheme="minorHAnsi" w:hAnsiTheme="minorHAnsi" w:cstheme="minorHAnsi"/>
        </w:rPr>
      </w:pPr>
    </w:p>
    <w:p w:rsidR="00712A48" w:rsidRPr="0034553C" w:rsidRDefault="0034553C">
      <w:pPr>
        <w:keepNext/>
        <w:spacing w:line="240" w:lineRule="auto"/>
        <w:jc w:val="center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 xml:space="preserve">Račun iz </w:t>
            </w:r>
            <w:proofErr w:type="spellStart"/>
            <w:r w:rsidRPr="0034553C">
              <w:rPr>
                <w:rFonts w:asciiTheme="minorHAnsi" w:hAnsiTheme="minorHAnsi" w:cstheme="minorHAnsi"/>
                <w:b/>
                <w:sz w:val="18"/>
              </w:rPr>
              <w:t>rač</w:t>
            </w:r>
            <w:proofErr w:type="spellEnd"/>
            <w:r w:rsidRPr="0034553C">
              <w:rPr>
                <w:rFonts w:asciiTheme="minorHAnsi" w:hAnsiTheme="minorHAnsi" w:cstheme="minorHAnsi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Ostvareno u izvješt</w:t>
            </w:r>
            <w:r w:rsidRPr="0034553C">
              <w:rPr>
                <w:rFonts w:asciiTheme="minorHAnsi" w:hAnsiTheme="minorHAnsi" w:cstheme="minorHAnsi"/>
                <w:b/>
                <w:sz w:val="18"/>
              </w:rPr>
              <w:t>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Indeks (%)</w:t>
            </w:r>
          </w:p>
        </w:tc>
      </w:tr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10.266,23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11.278,83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109,9</w:t>
            </w:r>
          </w:p>
        </w:tc>
      </w:tr>
    </w:tbl>
    <w:p w:rsidR="00712A48" w:rsidRPr="0034553C" w:rsidRDefault="00712A48">
      <w:pPr>
        <w:spacing w:after="0"/>
        <w:rPr>
          <w:rFonts w:asciiTheme="minorHAnsi" w:hAnsiTheme="minorHAnsi" w:cstheme="minorHAnsi"/>
        </w:rPr>
      </w:pPr>
    </w:p>
    <w:p w:rsidR="00712A48" w:rsidRPr="0034553C" w:rsidRDefault="0034553C" w:rsidP="0034553C">
      <w:pPr>
        <w:jc w:val="both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</w:rPr>
        <w:t>Ostali nespomenuti rashodi poslovanja sadržavaju redovne troškove škole u vidu troška rashoda osiguranja, protokola, reprezentacije, naknada i pristojbi te ostalih troškova poslovanja.</w:t>
      </w:r>
    </w:p>
    <w:p w:rsidR="00712A48" w:rsidRPr="0034553C" w:rsidRDefault="00712A48">
      <w:pPr>
        <w:rPr>
          <w:rFonts w:asciiTheme="minorHAnsi" w:hAnsiTheme="minorHAnsi" w:cstheme="minorHAnsi"/>
        </w:rPr>
      </w:pPr>
    </w:p>
    <w:p w:rsidR="00712A48" w:rsidRPr="0034553C" w:rsidRDefault="0034553C">
      <w:pPr>
        <w:keepNext/>
        <w:spacing w:line="240" w:lineRule="auto"/>
        <w:jc w:val="center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 xml:space="preserve">Račun iz </w:t>
            </w:r>
            <w:proofErr w:type="spellStart"/>
            <w:r w:rsidRPr="0034553C">
              <w:rPr>
                <w:rFonts w:asciiTheme="minorHAnsi" w:hAnsiTheme="minorHAnsi" w:cstheme="minorHAnsi"/>
                <w:b/>
                <w:sz w:val="18"/>
              </w:rPr>
              <w:t>rač</w:t>
            </w:r>
            <w:proofErr w:type="spellEnd"/>
            <w:r w:rsidRPr="0034553C">
              <w:rPr>
                <w:rFonts w:asciiTheme="minorHAnsi" w:hAnsiTheme="minorHAnsi" w:cstheme="minorHAnsi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Ostvareno u izvješt</w:t>
            </w:r>
            <w:r w:rsidRPr="0034553C">
              <w:rPr>
                <w:rFonts w:asciiTheme="minorHAnsi" w:hAnsiTheme="minorHAnsi" w:cstheme="minorHAnsi"/>
                <w:b/>
                <w:sz w:val="18"/>
              </w:rPr>
              <w:t>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Indeks (%)</w:t>
            </w:r>
          </w:p>
        </w:tc>
      </w:tr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Ostali financijski rashodi (šifre 3431 do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6.557,97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4.361,94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66,5</w:t>
            </w:r>
          </w:p>
        </w:tc>
      </w:tr>
    </w:tbl>
    <w:p w:rsidR="00712A48" w:rsidRPr="0034553C" w:rsidRDefault="00712A48">
      <w:pPr>
        <w:spacing w:after="0"/>
        <w:rPr>
          <w:rFonts w:asciiTheme="minorHAnsi" w:hAnsiTheme="minorHAnsi" w:cstheme="minorHAnsi"/>
        </w:rPr>
      </w:pPr>
    </w:p>
    <w:p w:rsidR="00712A48" w:rsidRPr="0034553C" w:rsidRDefault="0034553C" w:rsidP="0034553C">
      <w:pPr>
        <w:jc w:val="both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</w:rPr>
        <w:t>Ostali financijski rashodi smanjeni su zbog isteka okvirnog zaduženja po žiro računu koji u 2025. godini nije bio produžen.</w:t>
      </w:r>
    </w:p>
    <w:p w:rsidR="00712A48" w:rsidRPr="0034553C" w:rsidRDefault="00712A48">
      <w:pPr>
        <w:rPr>
          <w:rFonts w:asciiTheme="minorHAnsi" w:hAnsiTheme="minorHAnsi" w:cstheme="minorHAnsi"/>
        </w:rPr>
      </w:pPr>
    </w:p>
    <w:p w:rsidR="00712A48" w:rsidRPr="0034553C" w:rsidRDefault="0034553C">
      <w:pPr>
        <w:keepNext/>
        <w:spacing w:line="240" w:lineRule="auto"/>
        <w:jc w:val="center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 xml:space="preserve">Račun iz </w:t>
            </w:r>
            <w:proofErr w:type="spellStart"/>
            <w:r w:rsidRPr="0034553C">
              <w:rPr>
                <w:rFonts w:asciiTheme="minorHAnsi" w:hAnsiTheme="minorHAnsi" w:cstheme="minorHAnsi"/>
                <w:b/>
                <w:sz w:val="18"/>
              </w:rPr>
              <w:t>rač</w:t>
            </w:r>
            <w:proofErr w:type="spellEnd"/>
            <w:r w:rsidRPr="0034553C">
              <w:rPr>
                <w:rFonts w:asciiTheme="minorHAnsi" w:hAnsiTheme="minorHAnsi" w:cstheme="minorHAnsi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Ostvareno u izvještajnom raz</w:t>
            </w:r>
            <w:r w:rsidRPr="0034553C">
              <w:rPr>
                <w:rFonts w:asciiTheme="minorHAnsi" w:hAnsiTheme="minorHAnsi" w:cstheme="minorHAnsi"/>
                <w:b/>
                <w:sz w:val="18"/>
              </w:rPr>
              <w:t>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Indeks (%)</w:t>
            </w:r>
          </w:p>
        </w:tc>
      </w:tr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Ostale naknade građanima i kućanstvima iz proračuna (šifre 3721 do 3723)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1.044,38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2.896,68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277,4</w:t>
            </w:r>
          </w:p>
        </w:tc>
      </w:tr>
    </w:tbl>
    <w:p w:rsidR="00712A48" w:rsidRPr="0034553C" w:rsidRDefault="00712A48">
      <w:pPr>
        <w:spacing w:after="0"/>
        <w:rPr>
          <w:rFonts w:asciiTheme="minorHAnsi" w:hAnsiTheme="minorHAnsi" w:cstheme="minorHAnsi"/>
        </w:rPr>
      </w:pPr>
    </w:p>
    <w:p w:rsidR="00712A48" w:rsidRPr="0034553C" w:rsidRDefault="0034553C" w:rsidP="0034553C">
      <w:pPr>
        <w:jc w:val="both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</w:rPr>
        <w:lastRenderedPageBreak/>
        <w:t>Na ovoj stavci iskazana su sredstva za sufinanciranje prehrane uplaćena učenicima slabijeg imovinskog stanja. Izvor isplaćenih sredstava je proračun Osnivača.</w:t>
      </w:r>
    </w:p>
    <w:p w:rsidR="00712A48" w:rsidRPr="0034553C" w:rsidRDefault="00712A48">
      <w:pPr>
        <w:rPr>
          <w:rFonts w:asciiTheme="minorHAnsi" w:hAnsiTheme="minorHAnsi" w:cstheme="minorHAnsi"/>
        </w:rPr>
      </w:pPr>
    </w:p>
    <w:p w:rsidR="00712A48" w:rsidRPr="0034553C" w:rsidRDefault="0034553C">
      <w:pPr>
        <w:keepNext/>
        <w:spacing w:line="240" w:lineRule="auto"/>
        <w:jc w:val="center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 xml:space="preserve">Račun iz </w:t>
            </w:r>
            <w:proofErr w:type="spellStart"/>
            <w:r w:rsidRPr="0034553C">
              <w:rPr>
                <w:rFonts w:asciiTheme="minorHAnsi" w:hAnsiTheme="minorHAnsi" w:cstheme="minorHAnsi"/>
                <w:b/>
                <w:sz w:val="18"/>
              </w:rPr>
              <w:t>rač</w:t>
            </w:r>
            <w:proofErr w:type="spellEnd"/>
            <w:r w:rsidRPr="0034553C">
              <w:rPr>
                <w:rFonts w:asciiTheme="minorHAnsi" w:hAnsiTheme="minorHAnsi" w:cstheme="minorHAnsi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 xml:space="preserve">Ostvareno u izvještajnom razdoblju prethodne </w:t>
            </w:r>
            <w:r w:rsidRPr="0034553C">
              <w:rPr>
                <w:rFonts w:asciiTheme="minorHAnsi" w:hAnsiTheme="minorHAnsi" w:cstheme="minorHAnsi"/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Indeks (%)</w:t>
            </w:r>
          </w:p>
        </w:tc>
      </w:tr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3812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Tekuće donacije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3812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1.732,09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1.950,00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112,6</w:t>
            </w:r>
          </w:p>
        </w:tc>
      </w:tr>
    </w:tbl>
    <w:p w:rsidR="00712A48" w:rsidRPr="0034553C" w:rsidRDefault="00712A48">
      <w:pPr>
        <w:spacing w:after="0"/>
        <w:rPr>
          <w:rFonts w:asciiTheme="minorHAnsi" w:hAnsiTheme="minorHAnsi" w:cstheme="minorHAnsi"/>
        </w:rPr>
      </w:pPr>
    </w:p>
    <w:p w:rsidR="00712A48" w:rsidRPr="0034553C" w:rsidRDefault="0034553C" w:rsidP="0034553C">
      <w:pPr>
        <w:jc w:val="both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</w:rPr>
        <w:t>Rashod za tekuće donacije u naravi odnosi se na opskrbu školskih ustanova besplatnim zalihama menstrualnih higijenskih potrepština.</w:t>
      </w:r>
    </w:p>
    <w:p w:rsidR="00712A48" w:rsidRPr="0034553C" w:rsidRDefault="00712A48">
      <w:pPr>
        <w:rPr>
          <w:rFonts w:asciiTheme="minorHAnsi" w:hAnsiTheme="minorHAnsi" w:cstheme="minorHAnsi"/>
        </w:rPr>
      </w:pPr>
    </w:p>
    <w:p w:rsidR="00712A48" w:rsidRPr="0034553C" w:rsidRDefault="0034553C">
      <w:pPr>
        <w:keepNext/>
        <w:spacing w:line="240" w:lineRule="auto"/>
        <w:jc w:val="center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 xml:space="preserve">Račun iz </w:t>
            </w:r>
            <w:proofErr w:type="spellStart"/>
            <w:r w:rsidRPr="0034553C">
              <w:rPr>
                <w:rFonts w:asciiTheme="minorHAnsi" w:hAnsiTheme="minorHAnsi" w:cstheme="minorHAnsi"/>
                <w:b/>
                <w:sz w:val="18"/>
              </w:rPr>
              <w:t>rač</w:t>
            </w:r>
            <w:proofErr w:type="spellEnd"/>
            <w:r w:rsidRPr="0034553C">
              <w:rPr>
                <w:rFonts w:asciiTheme="minorHAnsi" w:hAnsiTheme="minorHAnsi" w:cstheme="minorHAnsi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Ostvareno u izvješta</w:t>
            </w:r>
            <w:r w:rsidRPr="0034553C">
              <w:rPr>
                <w:rFonts w:asciiTheme="minorHAnsi" w:hAnsiTheme="minorHAnsi" w:cstheme="minorHAnsi"/>
                <w:b/>
                <w:sz w:val="18"/>
              </w:rPr>
              <w:t>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Indeks (%)</w:t>
            </w:r>
          </w:p>
        </w:tc>
      </w:tr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712A48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214.302,54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-</w:t>
            </w:r>
          </w:p>
        </w:tc>
      </w:tr>
    </w:tbl>
    <w:p w:rsidR="00712A48" w:rsidRPr="0034553C" w:rsidRDefault="00712A48">
      <w:pPr>
        <w:spacing w:after="0"/>
        <w:rPr>
          <w:rFonts w:asciiTheme="minorHAnsi" w:hAnsiTheme="minorHAnsi" w:cstheme="minorHAnsi"/>
        </w:rPr>
      </w:pPr>
    </w:p>
    <w:p w:rsidR="00712A48" w:rsidRPr="0034553C" w:rsidRDefault="0034553C" w:rsidP="0034553C">
      <w:pPr>
        <w:jc w:val="both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</w:rPr>
        <w:t xml:space="preserve">U izvještajnom razdoblju </w:t>
      </w:r>
      <w:proofErr w:type="spellStart"/>
      <w:r w:rsidRPr="0034553C">
        <w:rPr>
          <w:rFonts w:asciiTheme="minorHAnsi" w:hAnsiTheme="minorHAnsi" w:cstheme="minorHAnsi"/>
        </w:rPr>
        <w:t>ostvren</w:t>
      </w:r>
      <w:proofErr w:type="spellEnd"/>
      <w:r w:rsidRPr="0034553C">
        <w:rPr>
          <w:rFonts w:asciiTheme="minorHAnsi" w:hAnsiTheme="minorHAnsi" w:cstheme="minorHAnsi"/>
        </w:rPr>
        <w:t xml:space="preserve"> je manjak prihoda poslovanja u iznosu 214.302,54 </w:t>
      </w:r>
      <w:proofErr w:type="spellStart"/>
      <w:r w:rsidRPr="0034553C">
        <w:rPr>
          <w:rFonts w:asciiTheme="minorHAnsi" w:hAnsiTheme="minorHAnsi" w:cstheme="minorHAnsi"/>
        </w:rPr>
        <w:t>eur</w:t>
      </w:r>
      <w:proofErr w:type="spellEnd"/>
      <w:r w:rsidRPr="0034553C">
        <w:rPr>
          <w:rFonts w:asciiTheme="minorHAnsi" w:hAnsiTheme="minorHAnsi" w:cstheme="minorHAnsi"/>
        </w:rPr>
        <w:t xml:space="preserve">. Manjak se najvećim </w:t>
      </w:r>
      <w:proofErr w:type="spellStart"/>
      <w:r w:rsidRPr="0034553C">
        <w:rPr>
          <w:rFonts w:asciiTheme="minorHAnsi" w:hAnsiTheme="minorHAnsi" w:cstheme="minorHAnsi"/>
        </w:rPr>
        <w:t>dijlom</w:t>
      </w:r>
      <w:proofErr w:type="spellEnd"/>
      <w:r w:rsidRPr="0034553C">
        <w:rPr>
          <w:rFonts w:asciiTheme="minorHAnsi" w:hAnsiTheme="minorHAnsi" w:cstheme="minorHAnsi"/>
        </w:rPr>
        <w:t xml:space="preserve"> odnosi na obvezu knjiženja 13 rashoda za plaće zaposlenika preko MZOM obzirom da se konto kontinuiranih rashoda sa 01.01.2025. godine ukinuo. T</w:t>
      </w:r>
      <w:r w:rsidRPr="0034553C">
        <w:rPr>
          <w:rFonts w:asciiTheme="minorHAnsi" w:hAnsiTheme="minorHAnsi" w:cstheme="minorHAnsi"/>
        </w:rPr>
        <w:t>akođer, manjak se odnosi i na rashode za poslovanje škole koji su podmireni od strane Osnivača za decentralizirane funkcije u siječnju 2026. godine.</w:t>
      </w:r>
    </w:p>
    <w:p w:rsidR="00712A48" w:rsidRPr="0034553C" w:rsidRDefault="00712A48">
      <w:pPr>
        <w:rPr>
          <w:rFonts w:asciiTheme="minorHAnsi" w:hAnsiTheme="minorHAnsi" w:cstheme="minorHAnsi"/>
        </w:rPr>
      </w:pPr>
    </w:p>
    <w:p w:rsidR="00712A48" w:rsidRPr="0034553C" w:rsidRDefault="0034553C">
      <w:pPr>
        <w:keepNext/>
        <w:spacing w:line="240" w:lineRule="auto"/>
        <w:jc w:val="center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 xml:space="preserve">Račun iz </w:t>
            </w:r>
            <w:proofErr w:type="spellStart"/>
            <w:r w:rsidRPr="0034553C">
              <w:rPr>
                <w:rFonts w:asciiTheme="minorHAnsi" w:hAnsiTheme="minorHAnsi" w:cstheme="minorHAnsi"/>
                <w:b/>
                <w:sz w:val="18"/>
              </w:rPr>
              <w:t>rač</w:t>
            </w:r>
            <w:proofErr w:type="spellEnd"/>
            <w:r w:rsidRPr="0034553C">
              <w:rPr>
                <w:rFonts w:asciiTheme="minorHAnsi" w:hAnsiTheme="minorHAnsi" w:cstheme="minorHAnsi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Ost</w:t>
            </w:r>
            <w:r w:rsidRPr="0034553C">
              <w:rPr>
                <w:rFonts w:asciiTheme="minorHAnsi" w:hAnsiTheme="minorHAnsi" w:cstheme="minorHAnsi"/>
                <w:b/>
                <w:sz w:val="18"/>
              </w:rPr>
              <w:t>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Indeks (%)</w:t>
            </w:r>
          </w:p>
        </w:tc>
      </w:tr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47.735,83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14.548,89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30,5</w:t>
            </w:r>
          </w:p>
        </w:tc>
      </w:tr>
    </w:tbl>
    <w:p w:rsidR="00712A48" w:rsidRPr="0034553C" w:rsidRDefault="00712A48">
      <w:pPr>
        <w:spacing w:after="0"/>
        <w:rPr>
          <w:rFonts w:asciiTheme="minorHAnsi" w:hAnsiTheme="minorHAnsi" w:cstheme="minorHAnsi"/>
        </w:rPr>
      </w:pPr>
    </w:p>
    <w:p w:rsidR="00712A48" w:rsidRPr="0034553C" w:rsidRDefault="0034553C" w:rsidP="0034553C">
      <w:pPr>
        <w:jc w:val="both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</w:rPr>
        <w:t>Obračunati nenaplaćeni prihodi odnose se na nenaplaćena potraživanja od kupaca od prodaje proizvoda i roba koji su većim dijelom naplaćeni u siječnju 2026. godine.</w:t>
      </w:r>
    </w:p>
    <w:p w:rsidR="00712A48" w:rsidRPr="0034553C" w:rsidRDefault="0034553C">
      <w:pPr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</w:rPr>
        <w:t> </w:t>
      </w:r>
    </w:p>
    <w:p w:rsidR="00712A48" w:rsidRPr="0034553C" w:rsidRDefault="00712A48">
      <w:pPr>
        <w:rPr>
          <w:rFonts w:asciiTheme="minorHAnsi" w:hAnsiTheme="minorHAnsi" w:cstheme="minorHAnsi"/>
        </w:rPr>
      </w:pPr>
    </w:p>
    <w:p w:rsidR="00712A48" w:rsidRPr="0034553C" w:rsidRDefault="0034553C">
      <w:pPr>
        <w:keepNext/>
        <w:spacing w:line="240" w:lineRule="auto"/>
        <w:jc w:val="center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  <w:sz w:val="28"/>
        </w:rPr>
        <w:lastRenderedPageBreak/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 xml:space="preserve">Račun iz </w:t>
            </w:r>
            <w:proofErr w:type="spellStart"/>
            <w:r w:rsidRPr="0034553C">
              <w:rPr>
                <w:rFonts w:asciiTheme="minorHAnsi" w:hAnsiTheme="minorHAnsi" w:cstheme="minorHAnsi"/>
                <w:b/>
                <w:sz w:val="18"/>
              </w:rPr>
              <w:t>rač</w:t>
            </w:r>
            <w:proofErr w:type="spellEnd"/>
            <w:r w:rsidRPr="0034553C">
              <w:rPr>
                <w:rFonts w:asciiTheme="minorHAnsi" w:hAnsiTheme="minorHAnsi" w:cstheme="minorHAnsi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Ostvareno u izvještajnom razdoblju pre</w:t>
            </w:r>
            <w:r w:rsidRPr="0034553C">
              <w:rPr>
                <w:rFonts w:asciiTheme="minorHAnsi" w:hAnsiTheme="minorHAnsi" w:cstheme="minorHAnsi"/>
                <w:b/>
                <w:sz w:val="18"/>
              </w:rPr>
              <w:t>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Indeks (%)</w:t>
            </w:r>
          </w:p>
        </w:tc>
      </w:tr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91.929,47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80.675,23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87,8</w:t>
            </w:r>
          </w:p>
        </w:tc>
      </w:tr>
    </w:tbl>
    <w:p w:rsidR="00712A48" w:rsidRPr="0034553C" w:rsidRDefault="00712A48">
      <w:pPr>
        <w:spacing w:after="0"/>
        <w:rPr>
          <w:rFonts w:asciiTheme="minorHAnsi" w:hAnsiTheme="minorHAnsi" w:cstheme="minorHAnsi"/>
        </w:rPr>
      </w:pPr>
    </w:p>
    <w:p w:rsidR="00712A48" w:rsidRPr="0034553C" w:rsidRDefault="0034553C" w:rsidP="0034553C">
      <w:pPr>
        <w:jc w:val="both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</w:rPr>
        <w:t xml:space="preserve">Rashodi za nabavu nefinancijske imovine realizirani su u manjem iznosu od prethodne godine. U rashodima za nabavu nefinancijske imovine uključena je nabava </w:t>
      </w:r>
      <w:proofErr w:type="spellStart"/>
      <w:r w:rsidRPr="0034553C">
        <w:rPr>
          <w:rFonts w:asciiTheme="minorHAnsi" w:hAnsiTheme="minorHAnsi" w:cstheme="minorHAnsi"/>
        </w:rPr>
        <w:t>računalane</w:t>
      </w:r>
      <w:proofErr w:type="spellEnd"/>
      <w:r w:rsidRPr="0034553C">
        <w:rPr>
          <w:rFonts w:asciiTheme="minorHAnsi" w:hAnsiTheme="minorHAnsi" w:cstheme="minorHAnsi"/>
        </w:rPr>
        <w:t xml:space="preserve"> opreme za opremanje informatičke učionice škole i uređenje vanjskog sportskog terena, za </w:t>
      </w:r>
      <w:r w:rsidRPr="0034553C">
        <w:rPr>
          <w:rFonts w:asciiTheme="minorHAnsi" w:hAnsiTheme="minorHAnsi" w:cstheme="minorHAnsi"/>
        </w:rPr>
        <w:t>koje je sredstva osigurao Osnivač. Također, u potpunosti je realizirana nabava po natječaju za namjenska sredstva temeljem Ugovora o dodjeli posebnih sredstava br. 19/2022 od Zavoda za vještačenje, profesionalnu rehabilitaciju i zapošljavanje osoba s inval</w:t>
      </w:r>
      <w:r w:rsidRPr="0034553C">
        <w:rPr>
          <w:rFonts w:asciiTheme="minorHAnsi" w:hAnsiTheme="minorHAnsi" w:cstheme="minorHAnsi"/>
        </w:rPr>
        <w:t xml:space="preserve">iditetom (Klasa: 402-07/22-13/03, </w:t>
      </w:r>
      <w:proofErr w:type="spellStart"/>
      <w:r w:rsidRPr="0034553C">
        <w:rPr>
          <w:rFonts w:asciiTheme="minorHAnsi" w:hAnsiTheme="minorHAnsi" w:cstheme="minorHAnsi"/>
        </w:rPr>
        <w:t>UrBr</w:t>
      </w:r>
      <w:proofErr w:type="spellEnd"/>
      <w:r w:rsidRPr="0034553C">
        <w:rPr>
          <w:rFonts w:asciiTheme="minorHAnsi" w:hAnsiTheme="minorHAnsi" w:cstheme="minorHAnsi"/>
        </w:rPr>
        <w:t>: 426-06/1-22-6), koja nisu mogla biti nabavljena tokom 2023.  i 2024. godine. </w:t>
      </w:r>
    </w:p>
    <w:p w:rsidR="00712A48" w:rsidRPr="0034553C" w:rsidRDefault="00712A48">
      <w:pPr>
        <w:rPr>
          <w:rFonts w:asciiTheme="minorHAnsi" w:hAnsiTheme="minorHAnsi" w:cstheme="minorHAnsi"/>
        </w:rPr>
      </w:pPr>
    </w:p>
    <w:p w:rsidR="00712A48" w:rsidRPr="0034553C" w:rsidRDefault="0034553C">
      <w:pPr>
        <w:keepNext/>
        <w:spacing w:line="240" w:lineRule="auto"/>
        <w:jc w:val="center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 xml:space="preserve">Račun iz </w:t>
            </w:r>
            <w:proofErr w:type="spellStart"/>
            <w:r w:rsidRPr="0034553C">
              <w:rPr>
                <w:rFonts w:asciiTheme="minorHAnsi" w:hAnsiTheme="minorHAnsi" w:cstheme="minorHAnsi"/>
                <w:b/>
                <w:sz w:val="18"/>
              </w:rPr>
              <w:t>rač</w:t>
            </w:r>
            <w:proofErr w:type="spellEnd"/>
            <w:r w:rsidRPr="0034553C">
              <w:rPr>
                <w:rFonts w:asciiTheme="minorHAnsi" w:hAnsiTheme="minorHAnsi" w:cstheme="minorHAnsi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Ostvareno u izvještajnom razdoblju</w:t>
            </w:r>
            <w:r w:rsidRPr="0034553C">
              <w:rPr>
                <w:rFonts w:asciiTheme="minorHAnsi" w:hAnsiTheme="minorHAnsi" w:cstheme="minorHAnsi"/>
                <w:b/>
                <w:sz w:val="18"/>
              </w:rPr>
              <w:t xml:space="preserve">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Indeks (%)</w:t>
            </w:r>
          </w:p>
        </w:tc>
      </w:tr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712A48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91.862,47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80.675,23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87,8</w:t>
            </w:r>
          </w:p>
        </w:tc>
      </w:tr>
    </w:tbl>
    <w:p w:rsidR="00712A48" w:rsidRPr="0034553C" w:rsidRDefault="00712A48">
      <w:pPr>
        <w:spacing w:after="0"/>
        <w:rPr>
          <w:rFonts w:asciiTheme="minorHAnsi" w:hAnsiTheme="minorHAnsi" w:cstheme="minorHAnsi"/>
        </w:rPr>
      </w:pPr>
    </w:p>
    <w:p w:rsidR="00712A48" w:rsidRPr="0034553C" w:rsidRDefault="0034553C" w:rsidP="0034553C">
      <w:pPr>
        <w:jc w:val="both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</w:rPr>
        <w:t xml:space="preserve">U izvještajnom razdoblju od 01.01.2025. do 31.12.2025. ostvaren je manjak prihoda od nefinancijske imovine u iznosu 80.675,23 </w:t>
      </w:r>
      <w:proofErr w:type="spellStart"/>
      <w:r w:rsidRPr="0034553C">
        <w:rPr>
          <w:rFonts w:asciiTheme="minorHAnsi" w:hAnsiTheme="minorHAnsi" w:cstheme="minorHAnsi"/>
        </w:rPr>
        <w:t>eur</w:t>
      </w:r>
      <w:proofErr w:type="spellEnd"/>
      <w:r w:rsidRPr="0034553C">
        <w:rPr>
          <w:rFonts w:asciiTheme="minorHAnsi" w:hAnsiTheme="minorHAnsi" w:cstheme="minorHAnsi"/>
        </w:rPr>
        <w:t>.</w:t>
      </w:r>
    </w:p>
    <w:p w:rsidR="00712A48" w:rsidRPr="0034553C" w:rsidRDefault="00712A48">
      <w:pPr>
        <w:rPr>
          <w:rFonts w:asciiTheme="minorHAnsi" w:hAnsiTheme="minorHAnsi" w:cstheme="minorHAnsi"/>
        </w:rPr>
      </w:pPr>
    </w:p>
    <w:p w:rsidR="00712A48" w:rsidRPr="0034553C" w:rsidRDefault="0034553C">
      <w:pPr>
        <w:keepNext/>
        <w:spacing w:line="240" w:lineRule="auto"/>
        <w:jc w:val="center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 xml:space="preserve">Račun iz </w:t>
            </w:r>
            <w:proofErr w:type="spellStart"/>
            <w:r w:rsidRPr="0034553C">
              <w:rPr>
                <w:rFonts w:asciiTheme="minorHAnsi" w:hAnsiTheme="minorHAnsi" w:cstheme="minorHAnsi"/>
                <w:b/>
                <w:sz w:val="18"/>
              </w:rPr>
              <w:t>rač</w:t>
            </w:r>
            <w:proofErr w:type="spellEnd"/>
            <w:r w:rsidRPr="0034553C">
              <w:rPr>
                <w:rFonts w:asciiTheme="minorHAnsi" w:hAnsiTheme="minorHAnsi" w:cstheme="minorHAnsi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Indeks (%)</w:t>
            </w:r>
          </w:p>
        </w:tc>
      </w:tr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9221-9222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 xml:space="preserve">Višak prihoda i primitaka - preneseni (šifre '9221x,9222x VP' - '9221x,9222x MP' + 92213 - </w:t>
            </w:r>
            <w:r w:rsidRPr="0034553C">
              <w:rPr>
                <w:rFonts w:asciiTheme="minorHAnsi" w:hAnsiTheme="minorHAnsi" w:cstheme="minorHAnsi"/>
                <w:sz w:val="18"/>
              </w:rPr>
              <w:t>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9221-9222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17.051,29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18.041,22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105,8</w:t>
            </w:r>
          </w:p>
        </w:tc>
      </w:tr>
    </w:tbl>
    <w:p w:rsidR="00712A48" w:rsidRPr="0034553C" w:rsidRDefault="00712A48">
      <w:pPr>
        <w:spacing w:after="0"/>
        <w:rPr>
          <w:rFonts w:asciiTheme="minorHAnsi" w:hAnsiTheme="minorHAnsi" w:cstheme="minorHAnsi"/>
        </w:rPr>
      </w:pPr>
    </w:p>
    <w:p w:rsidR="00712A48" w:rsidRPr="0034553C" w:rsidRDefault="0034553C" w:rsidP="0034553C">
      <w:pPr>
        <w:jc w:val="both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</w:rPr>
        <w:t>Višak prihoda i primitaka preneseni iz prethodnog razdoblja razlikuje se u odnosu na stanje sa 31.12.2024. godine iz razloga povrata neutrošenih sredstava po natječaju za namjenska sredstva temeljem Ugovora o dodjeli posebnih sredstava br. 19/2022 od Zavod</w:t>
      </w:r>
      <w:r w:rsidRPr="0034553C">
        <w:rPr>
          <w:rFonts w:asciiTheme="minorHAnsi" w:hAnsiTheme="minorHAnsi" w:cstheme="minorHAnsi"/>
        </w:rPr>
        <w:t xml:space="preserve">a za vještačenje, profesionalnu rehabilitaciju i zapošljavanje osoba s invaliditetom (Klasa: 402-07/22-13/03, </w:t>
      </w:r>
      <w:proofErr w:type="spellStart"/>
      <w:r w:rsidRPr="0034553C">
        <w:rPr>
          <w:rFonts w:asciiTheme="minorHAnsi" w:hAnsiTheme="minorHAnsi" w:cstheme="minorHAnsi"/>
        </w:rPr>
        <w:t>UrBr</w:t>
      </w:r>
      <w:proofErr w:type="spellEnd"/>
      <w:r w:rsidRPr="0034553C">
        <w:rPr>
          <w:rFonts w:asciiTheme="minorHAnsi" w:hAnsiTheme="minorHAnsi" w:cstheme="minorHAnsi"/>
        </w:rPr>
        <w:t>: 426-06/1-22-6).</w:t>
      </w:r>
    </w:p>
    <w:p w:rsidR="00712A48" w:rsidRPr="0034553C" w:rsidRDefault="00712A48">
      <w:pPr>
        <w:rPr>
          <w:rFonts w:asciiTheme="minorHAnsi" w:hAnsiTheme="minorHAnsi" w:cstheme="minorHAnsi"/>
        </w:rPr>
      </w:pPr>
    </w:p>
    <w:p w:rsidR="00712A48" w:rsidRPr="0034553C" w:rsidRDefault="0034553C">
      <w:pPr>
        <w:keepNext/>
        <w:spacing w:line="240" w:lineRule="auto"/>
        <w:jc w:val="center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  <w:sz w:val="28"/>
        </w:rPr>
        <w:lastRenderedPageBreak/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 xml:space="preserve">Račun iz </w:t>
            </w:r>
            <w:proofErr w:type="spellStart"/>
            <w:r w:rsidRPr="0034553C">
              <w:rPr>
                <w:rFonts w:asciiTheme="minorHAnsi" w:hAnsiTheme="minorHAnsi" w:cstheme="minorHAnsi"/>
                <w:b/>
                <w:sz w:val="18"/>
              </w:rPr>
              <w:t>rač</w:t>
            </w:r>
            <w:proofErr w:type="spellEnd"/>
            <w:r w:rsidRPr="0034553C">
              <w:rPr>
                <w:rFonts w:asciiTheme="minorHAnsi" w:hAnsiTheme="minorHAnsi" w:cstheme="minorHAnsi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 xml:space="preserve">Ostvareno u </w:t>
            </w:r>
            <w:r w:rsidRPr="0034553C">
              <w:rPr>
                <w:rFonts w:asciiTheme="minorHAnsi" w:hAnsiTheme="minorHAnsi" w:cstheme="minorHAnsi"/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Indeks (%)</w:t>
            </w:r>
          </w:p>
        </w:tc>
      </w:tr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712A48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276.936,55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-</w:t>
            </w:r>
          </w:p>
        </w:tc>
      </w:tr>
    </w:tbl>
    <w:p w:rsidR="00712A48" w:rsidRPr="0034553C" w:rsidRDefault="00712A48">
      <w:pPr>
        <w:spacing w:after="0"/>
        <w:rPr>
          <w:rFonts w:asciiTheme="minorHAnsi" w:hAnsiTheme="minorHAnsi" w:cstheme="minorHAnsi"/>
        </w:rPr>
      </w:pPr>
    </w:p>
    <w:p w:rsidR="00712A48" w:rsidRPr="0034553C" w:rsidRDefault="0034553C" w:rsidP="0034553C">
      <w:pPr>
        <w:jc w:val="both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</w:rPr>
        <w:t xml:space="preserve">Manjak se najvećim dijelom odnosi na obvezu knjiženja 13 rashoda za plaće zaposlenika preko MZOM obzirom da se konto kontinuiranih rashoda sa 01.01.2025. godine ukinuo. Također, manjak se odnosi i na rashode za poslovanje škole koji su podmireni od strane </w:t>
      </w:r>
      <w:r w:rsidRPr="0034553C">
        <w:rPr>
          <w:rFonts w:asciiTheme="minorHAnsi" w:hAnsiTheme="minorHAnsi" w:cstheme="minorHAnsi"/>
        </w:rPr>
        <w:t>Osnivača za decentralizirane funkcije u siječnju 2026. godine.</w:t>
      </w:r>
    </w:p>
    <w:p w:rsidR="00712A48" w:rsidRPr="0034553C" w:rsidRDefault="00712A48">
      <w:pPr>
        <w:rPr>
          <w:rFonts w:asciiTheme="minorHAnsi" w:hAnsiTheme="minorHAnsi" w:cstheme="minorHAnsi"/>
        </w:rPr>
      </w:pPr>
    </w:p>
    <w:p w:rsidR="00712A48" w:rsidRPr="0034553C" w:rsidRDefault="0034553C">
      <w:pPr>
        <w:keepNext/>
        <w:spacing w:line="240" w:lineRule="auto"/>
        <w:jc w:val="center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 xml:space="preserve">Račun iz </w:t>
            </w:r>
            <w:proofErr w:type="spellStart"/>
            <w:r w:rsidRPr="0034553C">
              <w:rPr>
                <w:rFonts w:asciiTheme="minorHAnsi" w:hAnsiTheme="minorHAnsi" w:cstheme="minorHAnsi"/>
                <w:b/>
                <w:sz w:val="18"/>
              </w:rPr>
              <w:t>rač</w:t>
            </w:r>
            <w:proofErr w:type="spellEnd"/>
            <w:r w:rsidRPr="0034553C">
              <w:rPr>
                <w:rFonts w:asciiTheme="minorHAnsi" w:hAnsiTheme="minorHAnsi" w:cstheme="minorHAnsi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Indeks (%)</w:t>
            </w:r>
          </w:p>
        </w:tc>
      </w:tr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Rashodi budućih razdoblja</w:t>
            </w:r>
            <w:r w:rsidRPr="0034553C">
              <w:rPr>
                <w:rFonts w:asciiTheme="minorHAnsi" w:hAnsiTheme="minorHAnsi" w:cstheme="minorHAnsi"/>
                <w:sz w:val="18"/>
              </w:rPr>
              <w:t xml:space="preserve"> i nedospjela naplata prihoda (aktivna vremenska razgraničenja)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292.014,88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0</w:t>
            </w:r>
          </w:p>
        </w:tc>
      </w:tr>
    </w:tbl>
    <w:p w:rsidR="00712A48" w:rsidRPr="0034553C" w:rsidRDefault="00712A48">
      <w:pPr>
        <w:spacing w:after="0"/>
        <w:rPr>
          <w:rFonts w:asciiTheme="minorHAnsi" w:hAnsiTheme="minorHAnsi" w:cstheme="minorHAnsi"/>
        </w:rPr>
      </w:pPr>
    </w:p>
    <w:p w:rsidR="00712A48" w:rsidRPr="0034553C" w:rsidRDefault="0034553C" w:rsidP="0034553C">
      <w:pPr>
        <w:jc w:val="both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</w:rPr>
        <w:t>Izmjenama Pravilnika o proračunskom računovodstvu i računskom planu, u članku 233. pripisano je da se s danom 1.01.2025. godine ukida podskupina računa 193.</w:t>
      </w:r>
    </w:p>
    <w:p w:rsidR="00712A48" w:rsidRPr="0034553C" w:rsidRDefault="00712A48">
      <w:pPr>
        <w:rPr>
          <w:rFonts w:asciiTheme="minorHAnsi" w:hAnsiTheme="minorHAnsi" w:cstheme="minorHAnsi"/>
        </w:rPr>
      </w:pPr>
    </w:p>
    <w:p w:rsidR="00712A48" w:rsidRPr="0034553C" w:rsidRDefault="0034553C">
      <w:pPr>
        <w:keepNext/>
        <w:spacing w:line="240" w:lineRule="auto"/>
        <w:jc w:val="center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 xml:space="preserve">Račun iz </w:t>
            </w:r>
            <w:proofErr w:type="spellStart"/>
            <w:r w:rsidRPr="0034553C">
              <w:rPr>
                <w:rFonts w:asciiTheme="minorHAnsi" w:hAnsiTheme="minorHAnsi" w:cstheme="minorHAnsi"/>
                <w:b/>
                <w:sz w:val="18"/>
              </w:rPr>
              <w:t>rač</w:t>
            </w:r>
            <w:proofErr w:type="spellEnd"/>
            <w:r w:rsidRPr="0034553C">
              <w:rPr>
                <w:rFonts w:asciiTheme="minorHAnsi" w:hAnsiTheme="minorHAnsi" w:cstheme="minorHAnsi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Indeks (%)</w:t>
            </w:r>
          </w:p>
        </w:tc>
      </w:tr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 xml:space="preserve">Stanje novčanih sredstava na kraju izvještajnog razdoblja (šifre 11P + '11-dugov.' - </w:t>
            </w:r>
            <w:r w:rsidRPr="0034553C">
              <w:rPr>
                <w:rFonts w:asciiTheme="minorHAnsi" w:hAnsiTheme="minorHAnsi" w:cstheme="minorHAnsi"/>
                <w:sz w:val="18"/>
              </w:rPr>
              <w:t>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94.901,04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128.110,38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135,0</w:t>
            </w:r>
          </w:p>
        </w:tc>
      </w:tr>
    </w:tbl>
    <w:p w:rsidR="00712A48" w:rsidRPr="0034553C" w:rsidRDefault="00712A48">
      <w:pPr>
        <w:spacing w:after="0"/>
        <w:rPr>
          <w:rFonts w:asciiTheme="minorHAnsi" w:hAnsiTheme="minorHAnsi" w:cstheme="minorHAnsi"/>
        </w:rPr>
      </w:pPr>
    </w:p>
    <w:p w:rsidR="00712A48" w:rsidRPr="0034553C" w:rsidRDefault="0034553C" w:rsidP="0034553C">
      <w:pPr>
        <w:jc w:val="both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</w:rPr>
        <w:t xml:space="preserve">Stanje novčanih sredstava na kraju izvještajnoj razdoblja odgovara stanju sredstava na izvodima banke i stanju blagajne na dan 31.12.2025. godine, a iznose 128.110,38 </w:t>
      </w:r>
      <w:proofErr w:type="spellStart"/>
      <w:r w:rsidRPr="0034553C">
        <w:rPr>
          <w:rFonts w:asciiTheme="minorHAnsi" w:hAnsiTheme="minorHAnsi" w:cstheme="minorHAnsi"/>
        </w:rPr>
        <w:t>eur</w:t>
      </w:r>
      <w:proofErr w:type="spellEnd"/>
      <w:r w:rsidRPr="0034553C">
        <w:rPr>
          <w:rFonts w:asciiTheme="minorHAnsi" w:hAnsiTheme="minorHAnsi" w:cstheme="minorHAnsi"/>
        </w:rPr>
        <w:t>.</w:t>
      </w:r>
    </w:p>
    <w:p w:rsidR="00712A48" w:rsidRPr="0034553C" w:rsidRDefault="00712A48">
      <w:pPr>
        <w:rPr>
          <w:rFonts w:asciiTheme="minorHAnsi" w:hAnsiTheme="minorHAnsi" w:cstheme="minorHAnsi"/>
        </w:rPr>
      </w:pPr>
    </w:p>
    <w:p w:rsidR="00712A48" w:rsidRPr="0034553C" w:rsidRDefault="0034553C">
      <w:pPr>
        <w:keepNext/>
        <w:spacing w:line="240" w:lineRule="auto"/>
        <w:jc w:val="center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  <w:b/>
          <w:sz w:val="28"/>
        </w:rPr>
        <w:t>Bilanca</w:t>
      </w:r>
    </w:p>
    <w:p w:rsidR="00712A48" w:rsidRPr="0034553C" w:rsidRDefault="0034553C">
      <w:pPr>
        <w:keepNext/>
        <w:spacing w:line="240" w:lineRule="auto"/>
        <w:jc w:val="center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 xml:space="preserve">Račun iz </w:t>
            </w:r>
            <w:proofErr w:type="spellStart"/>
            <w:r w:rsidRPr="0034553C">
              <w:rPr>
                <w:rFonts w:asciiTheme="minorHAnsi" w:hAnsiTheme="minorHAnsi" w:cstheme="minorHAnsi"/>
                <w:b/>
                <w:sz w:val="18"/>
              </w:rPr>
              <w:t>rač</w:t>
            </w:r>
            <w:proofErr w:type="spellEnd"/>
            <w:r w:rsidRPr="0034553C">
              <w:rPr>
                <w:rFonts w:asciiTheme="minorHAnsi" w:hAnsiTheme="minorHAnsi" w:cstheme="minorHAnsi"/>
                <w:b/>
                <w:sz w:val="18"/>
              </w:rPr>
              <w:t xml:space="preserve">. </w:t>
            </w:r>
            <w:r w:rsidRPr="0034553C">
              <w:rPr>
                <w:rFonts w:asciiTheme="minorHAnsi" w:hAnsiTheme="minorHAnsi" w:cstheme="minorHAnsi"/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Indeks (%)</w:t>
            </w:r>
          </w:p>
        </w:tc>
      </w:tr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2.319.542,90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2.232.353,25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96,2</w:t>
            </w:r>
          </w:p>
        </w:tc>
      </w:tr>
    </w:tbl>
    <w:p w:rsidR="00712A48" w:rsidRPr="0034553C" w:rsidRDefault="00712A48">
      <w:pPr>
        <w:spacing w:after="0"/>
        <w:rPr>
          <w:rFonts w:asciiTheme="minorHAnsi" w:hAnsiTheme="minorHAnsi" w:cstheme="minorHAnsi"/>
        </w:rPr>
      </w:pPr>
    </w:p>
    <w:p w:rsidR="00712A48" w:rsidRPr="0034553C" w:rsidRDefault="0034553C" w:rsidP="0034553C">
      <w:pPr>
        <w:jc w:val="both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</w:rPr>
        <w:lastRenderedPageBreak/>
        <w:t xml:space="preserve">Vrijednost nefinancijske imovine na dan 31.12.2025. godine iznosi 2.232.353,25 </w:t>
      </w:r>
      <w:proofErr w:type="spellStart"/>
      <w:r w:rsidRPr="0034553C">
        <w:rPr>
          <w:rFonts w:asciiTheme="minorHAnsi" w:hAnsiTheme="minorHAnsi" w:cstheme="minorHAnsi"/>
        </w:rPr>
        <w:t>eur</w:t>
      </w:r>
      <w:proofErr w:type="spellEnd"/>
      <w:r w:rsidRPr="0034553C">
        <w:rPr>
          <w:rFonts w:asciiTheme="minorHAnsi" w:hAnsiTheme="minorHAnsi" w:cstheme="minorHAnsi"/>
        </w:rPr>
        <w:t>, vrijednost je manja za 4% u odnosu na 01.01.2025. godine zbog rashodovanja imovine škole i obračuna amortizacije. </w:t>
      </w:r>
    </w:p>
    <w:p w:rsidR="00712A48" w:rsidRPr="0034553C" w:rsidRDefault="00712A48">
      <w:pPr>
        <w:rPr>
          <w:rFonts w:asciiTheme="minorHAnsi" w:hAnsiTheme="minorHAnsi" w:cstheme="minorHAnsi"/>
        </w:rPr>
      </w:pPr>
    </w:p>
    <w:p w:rsidR="00712A48" w:rsidRPr="0034553C" w:rsidRDefault="0034553C">
      <w:pPr>
        <w:keepNext/>
        <w:spacing w:line="240" w:lineRule="auto"/>
        <w:jc w:val="center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 xml:space="preserve">Račun iz </w:t>
            </w:r>
            <w:proofErr w:type="spellStart"/>
            <w:r w:rsidRPr="0034553C">
              <w:rPr>
                <w:rFonts w:asciiTheme="minorHAnsi" w:hAnsiTheme="minorHAnsi" w:cstheme="minorHAnsi"/>
                <w:b/>
                <w:sz w:val="18"/>
              </w:rPr>
              <w:t>rač</w:t>
            </w:r>
            <w:proofErr w:type="spellEnd"/>
            <w:r w:rsidRPr="0034553C">
              <w:rPr>
                <w:rFonts w:asciiTheme="minorHAnsi" w:hAnsiTheme="minorHAnsi" w:cstheme="minorHAnsi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Stanj</w:t>
            </w:r>
            <w:r w:rsidRPr="0034553C">
              <w:rPr>
                <w:rFonts w:asciiTheme="minorHAnsi" w:hAnsiTheme="minorHAnsi" w:cstheme="minorHAnsi"/>
                <w:b/>
                <w:sz w:val="18"/>
              </w:rPr>
              <w:t>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Indeks (%)</w:t>
            </w:r>
          </w:p>
        </w:tc>
      </w:tr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459.784,35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158.749,19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34,5</w:t>
            </w:r>
          </w:p>
        </w:tc>
      </w:tr>
    </w:tbl>
    <w:p w:rsidR="00712A48" w:rsidRPr="0034553C" w:rsidRDefault="00712A48">
      <w:pPr>
        <w:spacing w:after="0"/>
        <w:rPr>
          <w:rFonts w:asciiTheme="minorHAnsi" w:hAnsiTheme="minorHAnsi" w:cstheme="minorHAnsi"/>
        </w:rPr>
      </w:pPr>
    </w:p>
    <w:p w:rsidR="00712A48" w:rsidRPr="0034553C" w:rsidRDefault="0034553C" w:rsidP="0034553C">
      <w:pPr>
        <w:jc w:val="both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</w:rPr>
        <w:t>Do povećanja financijske imovine na dan 31.12.2025. godine u odnosu na stanje sa 1.01.2025. došlo je zbog dobivenih sredstava za potrebe obrazovanja odraslih za zanimanje Operativni djelatnik ostvarenih preko vaučera HZZ-a. </w:t>
      </w:r>
    </w:p>
    <w:p w:rsidR="00712A48" w:rsidRPr="0034553C" w:rsidRDefault="00712A48">
      <w:pPr>
        <w:rPr>
          <w:rFonts w:asciiTheme="minorHAnsi" w:hAnsiTheme="minorHAnsi" w:cstheme="minorHAnsi"/>
        </w:rPr>
      </w:pPr>
    </w:p>
    <w:p w:rsidR="00712A48" w:rsidRPr="0034553C" w:rsidRDefault="0034553C">
      <w:pPr>
        <w:keepNext/>
        <w:spacing w:line="240" w:lineRule="auto"/>
        <w:jc w:val="center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 xml:space="preserve">Račun iz </w:t>
            </w:r>
            <w:proofErr w:type="spellStart"/>
            <w:r w:rsidRPr="0034553C">
              <w:rPr>
                <w:rFonts w:asciiTheme="minorHAnsi" w:hAnsiTheme="minorHAnsi" w:cstheme="minorHAnsi"/>
                <w:b/>
                <w:sz w:val="18"/>
              </w:rPr>
              <w:t>rač</w:t>
            </w:r>
            <w:proofErr w:type="spellEnd"/>
            <w:r w:rsidRPr="0034553C">
              <w:rPr>
                <w:rFonts w:asciiTheme="minorHAnsi" w:hAnsiTheme="minorHAnsi" w:cstheme="minorHAnsi"/>
                <w:b/>
                <w:sz w:val="18"/>
              </w:rPr>
              <w:t>. pla</w:t>
            </w:r>
            <w:r w:rsidRPr="0034553C">
              <w:rPr>
                <w:rFonts w:asciiTheme="minorHAnsi" w:hAnsiTheme="minorHAnsi" w:cstheme="minorHAnsi"/>
                <w:b/>
                <w:sz w:val="18"/>
              </w:rPr>
              <w:t>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Indeks (%)</w:t>
            </w:r>
          </w:p>
        </w:tc>
      </w:tr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1521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Dionice i udjeli u glavnici trgovačkih društava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1521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2.654,46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2.654,46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100</w:t>
            </w:r>
          </w:p>
        </w:tc>
      </w:tr>
    </w:tbl>
    <w:p w:rsidR="00712A48" w:rsidRPr="0034553C" w:rsidRDefault="00712A48">
      <w:pPr>
        <w:spacing w:after="0"/>
        <w:rPr>
          <w:rFonts w:asciiTheme="minorHAnsi" w:hAnsiTheme="minorHAnsi" w:cstheme="minorHAnsi"/>
        </w:rPr>
      </w:pPr>
    </w:p>
    <w:p w:rsidR="00712A48" w:rsidRPr="0034553C" w:rsidRDefault="0034553C" w:rsidP="0034553C">
      <w:pPr>
        <w:jc w:val="both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</w:rPr>
        <w:t xml:space="preserve">Na toj šifri iskazana su potraživanja za udio u glavnici trgovačkih društava. Škola je  28. srpnja 2016. osnovala trgovačko društvo Zaštitna radionica strukovna Varaždin d.o.o. te je kao jedini osnivač uplatila temeljni kapital u iznosu od 2.654,46 </w:t>
      </w:r>
      <w:proofErr w:type="spellStart"/>
      <w:r w:rsidRPr="0034553C">
        <w:rPr>
          <w:rFonts w:asciiTheme="minorHAnsi" w:hAnsiTheme="minorHAnsi" w:cstheme="minorHAnsi"/>
        </w:rPr>
        <w:t>eur</w:t>
      </w:r>
      <w:proofErr w:type="spellEnd"/>
      <w:r w:rsidRPr="0034553C">
        <w:rPr>
          <w:rFonts w:asciiTheme="minorHAnsi" w:hAnsiTheme="minorHAnsi" w:cstheme="minorHAnsi"/>
        </w:rPr>
        <w:t>.</w:t>
      </w:r>
    </w:p>
    <w:p w:rsidR="00712A48" w:rsidRPr="0034553C" w:rsidRDefault="00712A48">
      <w:pPr>
        <w:rPr>
          <w:rFonts w:asciiTheme="minorHAnsi" w:hAnsiTheme="minorHAnsi" w:cstheme="minorHAnsi"/>
        </w:rPr>
      </w:pPr>
    </w:p>
    <w:p w:rsidR="00712A48" w:rsidRPr="0034553C" w:rsidRDefault="0034553C">
      <w:pPr>
        <w:keepNext/>
        <w:spacing w:line="240" w:lineRule="auto"/>
        <w:jc w:val="center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  <w:sz w:val="28"/>
        </w:rPr>
        <w:t>B</w:t>
      </w:r>
      <w:r w:rsidRPr="0034553C">
        <w:rPr>
          <w:rFonts w:asciiTheme="minorHAnsi" w:hAnsiTheme="minorHAnsi" w:cstheme="minorHAnsi"/>
          <w:sz w:val="28"/>
        </w:rPr>
        <w:t>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 xml:space="preserve">Račun iz </w:t>
            </w:r>
            <w:proofErr w:type="spellStart"/>
            <w:r w:rsidRPr="0034553C">
              <w:rPr>
                <w:rFonts w:asciiTheme="minorHAnsi" w:hAnsiTheme="minorHAnsi" w:cstheme="minorHAnsi"/>
                <w:b/>
                <w:sz w:val="18"/>
              </w:rPr>
              <w:t>rač</w:t>
            </w:r>
            <w:proofErr w:type="spellEnd"/>
            <w:r w:rsidRPr="0034553C">
              <w:rPr>
                <w:rFonts w:asciiTheme="minorHAnsi" w:hAnsiTheme="minorHAnsi" w:cstheme="minorHAnsi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Indeks (%)</w:t>
            </w:r>
          </w:p>
        </w:tc>
      </w:tr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166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Potraživanja za prihode od prodaje proizvoda i robe te pruženih usluga i za povrat po protestiranim jamstvima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166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57.011,52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14.545,48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25,5</w:t>
            </w:r>
          </w:p>
        </w:tc>
      </w:tr>
    </w:tbl>
    <w:p w:rsidR="00712A48" w:rsidRPr="0034553C" w:rsidRDefault="00712A48">
      <w:pPr>
        <w:spacing w:after="0"/>
        <w:rPr>
          <w:rFonts w:asciiTheme="minorHAnsi" w:hAnsiTheme="minorHAnsi" w:cstheme="minorHAnsi"/>
        </w:rPr>
      </w:pPr>
    </w:p>
    <w:p w:rsidR="00712A48" w:rsidRPr="0034553C" w:rsidRDefault="0034553C" w:rsidP="0034553C">
      <w:pPr>
        <w:jc w:val="both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</w:rPr>
        <w:t xml:space="preserve">Potraživanja za prihode od prodaje proizvoda i robe te pruženih usluga odnose se na račune za prodaju roba i usluga školskih radionica i Zaštitne radionice koji su ispostavljeni u prosincu 2025. godine, a njihova naplata će biti u siječnju i veljači 2026. </w:t>
      </w:r>
      <w:r w:rsidRPr="0034553C">
        <w:rPr>
          <w:rFonts w:asciiTheme="minorHAnsi" w:hAnsiTheme="minorHAnsi" w:cstheme="minorHAnsi"/>
        </w:rPr>
        <w:t>godine. </w:t>
      </w:r>
    </w:p>
    <w:p w:rsidR="00712A48" w:rsidRPr="0034553C" w:rsidRDefault="00712A48">
      <w:pPr>
        <w:rPr>
          <w:rFonts w:asciiTheme="minorHAnsi" w:hAnsiTheme="minorHAnsi" w:cstheme="minorHAnsi"/>
        </w:rPr>
      </w:pPr>
    </w:p>
    <w:p w:rsidR="00712A48" w:rsidRPr="0034553C" w:rsidRDefault="0034553C">
      <w:pPr>
        <w:keepNext/>
        <w:spacing w:line="240" w:lineRule="auto"/>
        <w:jc w:val="center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  <w:sz w:val="28"/>
        </w:rPr>
        <w:lastRenderedPageBreak/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 xml:space="preserve">Račun iz </w:t>
            </w:r>
            <w:proofErr w:type="spellStart"/>
            <w:r w:rsidRPr="0034553C">
              <w:rPr>
                <w:rFonts w:asciiTheme="minorHAnsi" w:hAnsiTheme="minorHAnsi" w:cstheme="minorHAnsi"/>
                <w:b/>
                <w:sz w:val="18"/>
              </w:rPr>
              <w:t>rač</w:t>
            </w:r>
            <w:proofErr w:type="spellEnd"/>
            <w:r w:rsidRPr="0034553C">
              <w:rPr>
                <w:rFonts w:asciiTheme="minorHAnsi" w:hAnsiTheme="minorHAnsi" w:cstheme="minorHAnsi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Indeks (%)</w:t>
            </w:r>
          </w:p>
        </w:tc>
      </w:tr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193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Kontinuirani rashodi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193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292.014,88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0</w:t>
            </w:r>
          </w:p>
        </w:tc>
      </w:tr>
    </w:tbl>
    <w:p w:rsidR="00712A48" w:rsidRPr="0034553C" w:rsidRDefault="00712A48">
      <w:pPr>
        <w:spacing w:after="0"/>
        <w:rPr>
          <w:rFonts w:asciiTheme="minorHAnsi" w:hAnsiTheme="minorHAnsi" w:cstheme="minorHAnsi"/>
        </w:rPr>
      </w:pPr>
    </w:p>
    <w:p w:rsidR="00712A48" w:rsidRPr="0034553C" w:rsidRDefault="0034553C" w:rsidP="0034553C">
      <w:pPr>
        <w:jc w:val="both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</w:rPr>
        <w:t>Izmjenama Pravilnika o proračunskom računovodstvu i računskom planu, u članku 233. pripisano je da se s danom 1.01.2025. godine ukida podskupina računa 193.</w:t>
      </w:r>
    </w:p>
    <w:p w:rsidR="00712A48" w:rsidRPr="0034553C" w:rsidRDefault="00712A48">
      <w:pPr>
        <w:rPr>
          <w:rFonts w:asciiTheme="minorHAnsi" w:hAnsiTheme="minorHAnsi" w:cstheme="minorHAnsi"/>
        </w:rPr>
      </w:pPr>
    </w:p>
    <w:p w:rsidR="00712A48" w:rsidRPr="0034553C" w:rsidRDefault="0034553C">
      <w:pPr>
        <w:keepNext/>
        <w:spacing w:line="240" w:lineRule="auto"/>
        <w:jc w:val="center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 xml:space="preserve">Račun iz </w:t>
            </w:r>
            <w:proofErr w:type="spellStart"/>
            <w:r w:rsidRPr="0034553C">
              <w:rPr>
                <w:rFonts w:asciiTheme="minorHAnsi" w:hAnsiTheme="minorHAnsi" w:cstheme="minorHAnsi"/>
                <w:b/>
                <w:sz w:val="18"/>
              </w:rPr>
              <w:t>rač</w:t>
            </w:r>
            <w:proofErr w:type="spellEnd"/>
            <w:r w:rsidRPr="0034553C">
              <w:rPr>
                <w:rFonts w:asciiTheme="minorHAnsi" w:hAnsiTheme="minorHAnsi" w:cstheme="minorHAnsi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Indeks (</w:t>
            </w:r>
            <w:r w:rsidRPr="0034553C">
              <w:rPr>
                <w:rFonts w:asciiTheme="minorHAnsi" w:hAnsiTheme="minorHAnsi" w:cstheme="minorHAnsi"/>
                <w:b/>
                <w:sz w:val="18"/>
              </w:rPr>
              <w:t>%)</w:t>
            </w:r>
          </w:p>
        </w:tc>
      </w:tr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Obveze za rashode poslovanja (šifre 231 do 234 + 235 + 236 + 237 do 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380.540,97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418.482,42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110,0</w:t>
            </w:r>
          </w:p>
        </w:tc>
      </w:tr>
    </w:tbl>
    <w:p w:rsidR="00712A48" w:rsidRPr="0034553C" w:rsidRDefault="00712A48">
      <w:pPr>
        <w:spacing w:after="0"/>
        <w:rPr>
          <w:rFonts w:asciiTheme="minorHAnsi" w:hAnsiTheme="minorHAnsi" w:cstheme="minorHAnsi"/>
        </w:rPr>
      </w:pPr>
    </w:p>
    <w:p w:rsidR="00712A48" w:rsidRPr="0034553C" w:rsidRDefault="0034553C" w:rsidP="0034553C">
      <w:pPr>
        <w:jc w:val="both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</w:rPr>
        <w:t>Stanje ukupnih obveza u odnosu na stanje na kraju prethodne godine povećano je za 10%. Najveći dio obveza i povećanja obaveza odnosi se na obveze za zaposlene za isplatu plaća za prosinac 2025. godine, pri čemu najveći dio na plaću i ostale rashode za zapo</w:t>
      </w:r>
      <w:r w:rsidRPr="0034553C">
        <w:rPr>
          <w:rFonts w:asciiTheme="minorHAnsi" w:hAnsiTheme="minorHAnsi" w:cstheme="minorHAnsi"/>
        </w:rPr>
        <w:t xml:space="preserve">slene u iznosu 281.661,26 </w:t>
      </w:r>
      <w:proofErr w:type="spellStart"/>
      <w:r w:rsidRPr="0034553C">
        <w:rPr>
          <w:rFonts w:asciiTheme="minorHAnsi" w:hAnsiTheme="minorHAnsi" w:cstheme="minorHAnsi"/>
        </w:rPr>
        <w:t>eur</w:t>
      </w:r>
      <w:proofErr w:type="spellEnd"/>
      <w:r w:rsidRPr="0034553C">
        <w:rPr>
          <w:rFonts w:asciiTheme="minorHAnsi" w:hAnsiTheme="minorHAnsi" w:cstheme="minorHAnsi"/>
        </w:rPr>
        <w:t xml:space="preserve"> koja se isplaćuje od strane Ministarstva znanosti i obrazovanja, na plaću i prijevoz zaposlenih osoba u Zaštitnoj radionici škole te ostalih zaposlenika škole u iznosu 59.682,44 </w:t>
      </w:r>
      <w:proofErr w:type="spellStart"/>
      <w:r w:rsidRPr="0034553C">
        <w:rPr>
          <w:rFonts w:asciiTheme="minorHAnsi" w:hAnsiTheme="minorHAnsi" w:cstheme="minorHAnsi"/>
        </w:rPr>
        <w:t>eur</w:t>
      </w:r>
      <w:proofErr w:type="spellEnd"/>
      <w:r w:rsidRPr="0034553C">
        <w:rPr>
          <w:rFonts w:asciiTheme="minorHAnsi" w:hAnsiTheme="minorHAnsi" w:cstheme="minorHAnsi"/>
        </w:rPr>
        <w:t>. Obveze za materijalne rashode u iznosu 56.4</w:t>
      </w:r>
      <w:r w:rsidRPr="0034553C">
        <w:rPr>
          <w:rFonts w:asciiTheme="minorHAnsi" w:hAnsiTheme="minorHAnsi" w:cstheme="minorHAnsi"/>
        </w:rPr>
        <w:t xml:space="preserve">70,08 </w:t>
      </w:r>
      <w:proofErr w:type="spellStart"/>
      <w:r w:rsidRPr="0034553C">
        <w:rPr>
          <w:rFonts w:asciiTheme="minorHAnsi" w:hAnsiTheme="minorHAnsi" w:cstheme="minorHAnsi"/>
        </w:rPr>
        <w:t>eur</w:t>
      </w:r>
      <w:proofErr w:type="spellEnd"/>
      <w:r w:rsidRPr="0034553C">
        <w:rPr>
          <w:rFonts w:asciiTheme="minorHAnsi" w:hAnsiTheme="minorHAnsi" w:cstheme="minorHAnsi"/>
        </w:rPr>
        <w:t xml:space="preserve"> odnose se na režijske troškove i troškove za materijal i sirovine za potrebe rada školskih radionica i Zaštitne radionice za studeni i prosinac 2025. godine.</w:t>
      </w:r>
    </w:p>
    <w:p w:rsidR="00712A48" w:rsidRPr="0034553C" w:rsidRDefault="00712A48">
      <w:pPr>
        <w:rPr>
          <w:rFonts w:asciiTheme="minorHAnsi" w:hAnsiTheme="minorHAnsi" w:cstheme="minorHAnsi"/>
        </w:rPr>
      </w:pPr>
    </w:p>
    <w:p w:rsidR="00712A48" w:rsidRPr="0034553C" w:rsidRDefault="0034553C">
      <w:pPr>
        <w:keepNext/>
        <w:spacing w:line="240" w:lineRule="auto"/>
        <w:jc w:val="center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 xml:space="preserve">Račun iz </w:t>
            </w:r>
            <w:proofErr w:type="spellStart"/>
            <w:r w:rsidRPr="0034553C">
              <w:rPr>
                <w:rFonts w:asciiTheme="minorHAnsi" w:hAnsiTheme="minorHAnsi" w:cstheme="minorHAnsi"/>
                <w:b/>
                <w:sz w:val="18"/>
              </w:rPr>
              <w:t>rač</w:t>
            </w:r>
            <w:proofErr w:type="spellEnd"/>
            <w:r w:rsidRPr="0034553C">
              <w:rPr>
                <w:rFonts w:asciiTheme="minorHAnsi" w:hAnsiTheme="minorHAnsi" w:cstheme="minorHAnsi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Stanje 31. prosin</w:t>
            </w:r>
            <w:r w:rsidRPr="0034553C">
              <w:rPr>
                <w:rFonts w:asciiTheme="minorHAnsi" w:hAnsiTheme="minorHAnsi" w:cstheme="minorHAnsi"/>
                <w:b/>
                <w:sz w:val="18"/>
              </w:rPr>
              <w:t>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Indeks (%)</w:t>
            </w:r>
          </w:p>
        </w:tc>
      </w:tr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Ostale tekuće obveze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42.103,18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20.165,48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47,9</w:t>
            </w:r>
          </w:p>
        </w:tc>
      </w:tr>
    </w:tbl>
    <w:p w:rsidR="00712A48" w:rsidRPr="0034553C" w:rsidRDefault="00712A48">
      <w:pPr>
        <w:spacing w:after="0"/>
        <w:rPr>
          <w:rFonts w:asciiTheme="minorHAnsi" w:hAnsiTheme="minorHAnsi" w:cstheme="minorHAnsi"/>
        </w:rPr>
      </w:pPr>
    </w:p>
    <w:p w:rsidR="00712A48" w:rsidRPr="0034553C" w:rsidRDefault="0034553C" w:rsidP="0034553C">
      <w:pPr>
        <w:jc w:val="both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</w:rPr>
        <w:t xml:space="preserve">Ostale tekuće obveze odnose se na obavezu plaćanja Poreza na dodanu vrijednost za obračunsko razdoblje prosinac 2025. godine u iznosu od 20.165,48 </w:t>
      </w:r>
      <w:proofErr w:type="spellStart"/>
      <w:r w:rsidRPr="0034553C">
        <w:rPr>
          <w:rFonts w:asciiTheme="minorHAnsi" w:hAnsiTheme="minorHAnsi" w:cstheme="minorHAnsi"/>
        </w:rPr>
        <w:t>eur</w:t>
      </w:r>
      <w:proofErr w:type="spellEnd"/>
      <w:r w:rsidRPr="0034553C">
        <w:rPr>
          <w:rFonts w:asciiTheme="minorHAnsi" w:hAnsiTheme="minorHAnsi" w:cstheme="minorHAnsi"/>
        </w:rPr>
        <w:t> </w:t>
      </w:r>
    </w:p>
    <w:p w:rsidR="00712A48" w:rsidRPr="0034553C" w:rsidRDefault="00712A48">
      <w:pPr>
        <w:rPr>
          <w:rFonts w:asciiTheme="minorHAnsi" w:hAnsiTheme="minorHAnsi" w:cstheme="minorHAnsi"/>
        </w:rPr>
      </w:pPr>
    </w:p>
    <w:p w:rsidR="00712A48" w:rsidRPr="0034553C" w:rsidRDefault="0034553C">
      <w:pPr>
        <w:keepNext/>
        <w:spacing w:line="240" w:lineRule="auto"/>
        <w:jc w:val="center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  <w:sz w:val="28"/>
        </w:rPr>
        <w:lastRenderedPageBreak/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 xml:space="preserve">Račun iz </w:t>
            </w:r>
            <w:proofErr w:type="spellStart"/>
            <w:r w:rsidRPr="0034553C">
              <w:rPr>
                <w:rFonts w:asciiTheme="minorHAnsi" w:hAnsiTheme="minorHAnsi" w:cstheme="minorHAnsi"/>
                <w:b/>
                <w:sz w:val="18"/>
              </w:rPr>
              <w:t>rač</w:t>
            </w:r>
            <w:proofErr w:type="spellEnd"/>
            <w:r w:rsidRPr="0034553C">
              <w:rPr>
                <w:rFonts w:asciiTheme="minorHAnsi" w:hAnsiTheme="minorHAnsi" w:cstheme="minorHAnsi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Indeks (%)</w:t>
            </w:r>
          </w:p>
        </w:tc>
      </w:tr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Manjak prihoda i primitaka (šifre 92221 do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276.936,55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-</w:t>
            </w:r>
          </w:p>
        </w:tc>
      </w:tr>
    </w:tbl>
    <w:p w:rsidR="00712A48" w:rsidRPr="0034553C" w:rsidRDefault="00712A48">
      <w:pPr>
        <w:spacing w:after="0"/>
        <w:rPr>
          <w:rFonts w:asciiTheme="minorHAnsi" w:hAnsiTheme="minorHAnsi" w:cstheme="minorHAnsi"/>
        </w:rPr>
      </w:pPr>
    </w:p>
    <w:p w:rsidR="00712A48" w:rsidRPr="0034553C" w:rsidRDefault="0034553C" w:rsidP="0034553C">
      <w:pPr>
        <w:jc w:val="both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</w:rPr>
        <w:t>Zajedno sa prenesenim rezultatima iz prethodnog razdoblja, a nakon provedenih korekcija rezultata temeljem članka 82. Pravilnika o proračunskom računovodstvu i računskom planu proračuna, Škola je ostvarila ukupan manjak prihoda poslovanja u iznosu 276.936,</w:t>
      </w:r>
      <w:r w:rsidRPr="0034553C">
        <w:rPr>
          <w:rFonts w:asciiTheme="minorHAnsi" w:hAnsiTheme="minorHAnsi" w:cstheme="minorHAnsi"/>
        </w:rPr>
        <w:t xml:space="preserve">55 </w:t>
      </w:r>
      <w:proofErr w:type="spellStart"/>
      <w:r w:rsidRPr="0034553C">
        <w:rPr>
          <w:rFonts w:asciiTheme="minorHAnsi" w:hAnsiTheme="minorHAnsi" w:cstheme="minorHAnsi"/>
        </w:rPr>
        <w:t>eur</w:t>
      </w:r>
      <w:proofErr w:type="spellEnd"/>
      <w:r w:rsidRPr="0034553C">
        <w:rPr>
          <w:rFonts w:asciiTheme="minorHAnsi" w:hAnsiTheme="minorHAnsi" w:cstheme="minorHAnsi"/>
        </w:rPr>
        <w:t xml:space="preserve">. Manjak se najvećim dijelom odnosi na obvezu prikaza 13 rashoda plaća u 2025. godini za zaposlenike preko MZOM, a zbog ukidanja </w:t>
      </w:r>
      <w:proofErr w:type="spellStart"/>
      <w:r w:rsidRPr="0034553C">
        <w:rPr>
          <w:rFonts w:asciiTheme="minorHAnsi" w:hAnsiTheme="minorHAnsi" w:cstheme="minorHAnsi"/>
        </w:rPr>
        <w:t>Kontiuniranih</w:t>
      </w:r>
      <w:proofErr w:type="spellEnd"/>
      <w:r w:rsidRPr="0034553C">
        <w:rPr>
          <w:rFonts w:asciiTheme="minorHAnsi" w:hAnsiTheme="minorHAnsi" w:cstheme="minorHAnsi"/>
        </w:rPr>
        <w:t xml:space="preserve"> rashoda.</w:t>
      </w:r>
    </w:p>
    <w:p w:rsidR="00712A48" w:rsidRPr="0034553C" w:rsidRDefault="00712A48">
      <w:pPr>
        <w:rPr>
          <w:rFonts w:asciiTheme="minorHAnsi" w:hAnsiTheme="minorHAnsi" w:cstheme="minorHAnsi"/>
        </w:rPr>
      </w:pPr>
    </w:p>
    <w:p w:rsidR="00712A48" w:rsidRPr="0034553C" w:rsidRDefault="0034553C">
      <w:pPr>
        <w:keepNext/>
        <w:spacing w:line="240" w:lineRule="auto"/>
        <w:jc w:val="center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 xml:space="preserve">Račun iz </w:t>
            </w:r>
            <w:proofErr w:type="spellStart"/>
            <w:r w:rsidRPr="0034553C">
              <w:rPr>
                <w:rFonts w:asciiTheme="minorHAnsi" w:hAnsiTheme="minorHAnsi" w:cstheme="minorHAnsi"/>
                <w:b/>
                <w:sz w:val="18"/>
              </w:rPr>
              <w:t>rač</w:t>
            </w:r>
            <w:proofErr w:type="spellEnd"/>
            <w:r w:rsidRPr="0034553C">
              <w:rPr>
                <w:rFonts w:asciiTheme="minorHAnsi" w:hAnsiTheme="minorHAnsi" w:cstheme="minorHAnsi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 xml:space="preserve">Indeks </w:t>
            </w:r>
            <w:r w:rsidRPr="0034553C">
              <w:rPr>
                <w:rFonts w:asciiTheme="minorHAnsi" w:hAnsiTheme="minorHAnsi" w:cstheme="minorHAnsi"/>
                <w:b/>
                <w:sz w:val="18"/>
              </w:rPr>
              <w:t>(%)</w:t>
            </w:r>
          </w:p>
        </w:tc>
      </w:tr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92224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Manjak prihoda poslovanja - ispravci iz prethodnih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92224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10.811,90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-</w:t>
            </w:r>
          </w:p>
        </w:tc>
      </w:tr>
    </w:tbl>
    <w:p w:rsidR="00712A48" w:rsidRPr="0034553C" w:rsidRDefault="00712A48">
      <w:pPr>
        <w:spacing w:after="0"/>
        <w:rPr>
          <w:rFonts w:asciiTheme="minorHAnsi" w:hAnsiTheme="minorHAnsi" w:cstheme="minorHAnsi"/>
        </w:rPr>
      </w:pPr>
    </w:p>
    <w:p w:rsidR="00712A48" w:rsidRPr="0034553C" w:rsidRDefault="0034553C" w:rsidP="0034553C">
      <w:pPr>
        <w:jc w:val="both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</w:rPr>
        <w:t xml:space="preserve">Ispravak rezultata poslovanja iz prethodnih godina realiziran je iz razloga povrata neutrošenih sredstava po natječaju za namjenska sredstva temeljem Ugovora o dodjeli posebnih sredstava br. 19/2022 od Zavoda za vještačenje, profesionalnu rehabilitaciju i </w:t>
      </w:r>
      <w:r w:rsidRPr="0034553C">
        <w:rPr>
          <w:rFonts w:asciiTheme="minorHAnsi" w:hAnsiTheme="minorHAnsi" w:cstheme="minorHAnsi"/>
        </w:rPr>
        <w:t xml:space="preserve">zapošljavanje osoba s invaliditetom (Klasa: 402-07/22-13/03, </w:t>
      </w:r>
      <w:proofErr w:type="spellStart"/>
      <w:r w:rsidRPr="0034553C">
        <w:rPr>
          <w:rFonts w:asciiTheme="minorHAnsi" w:hAnsiTheme="minorHAnsi" w:cstheme="minorHAnsi"/>
        </w:rPr>
        <w:t>UrBr</w:t>
      </w:r>
      <w:proofErr w:type="spellEnd"/>
      <w:r w:rsidRPr="0034553C">
        <w:rPr>
          <w:rFonts w:asciiTheme="minorHAnsi" w:hAnsiTheme="minorHAnsi" w:cstheme="minorHAnsi"/>
        </w:rPr>
        <w:t>: 426-06/1-22-6).</w:t>
      </w:r>
    </w:p>
    <w:p w:rsidR="00712A48" w:rsidRPr="0034553C" w:rsidRDefault="00712A48">
      <w:pPr>
        <w:rPr>
          <w:rFonts w:asciiTheme="minorHAnsi" w:hAnsiTheme="minorHAnsi" w:cstheme="minorHAnsi"/>
        </w:rPr>
      </w:pPr>
    </w:p>
    <w:p w:rsidR="00712A48" w:rsidRPr="0034553C" w:rsidRDefault="0034553C">
      <w:pPr>
        <w:keepNext/>
        <w:spacing w:line="240" w:lineRule="auto"/>
        <w:jc w:val="center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  <w:b/>
          <w:sz w:val="28"/>
        </w:rPr>
        <w:t>Izvještaj o rashodima prema funkcijskoj klasifikaciji</w:t>
      </w:r>
    </w:p>
    <w:p w:rsidR="00712A48" w:rsidRPr="0034553C" w:rsidRDefault="0034553C">
      <w:pPr>
        <w:keepNext/>
        <w:spacing w:line="240" w:lineRule="auto"/>
        <w:jc w:val="center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 xml:space="preserve">Račun iz </w:t>
            </w:r>
            <w:proofErr w:type="spellStart"/>
            <w:r w:rsidRPr="0034553C">
              <w:rPr>
                <w:rFonts w:asciiTheme="minorHAnsi" w:hAnsiTheme="minorHAnsi" w:cstheme="minorHAnsi"/>
                <w:b/>
                <w:sz w:val="18"/>
              </w:rPr>
              <w:t>rač</w:t>
            </w:r>
            <w:proofErr w:type="spellEnd"/>
            <w:r w:rsidRPr="0034553C">
              <w:rPr>
                <w:rFonts w:asciiTheme="minorHAnsi" w:hAnsiTheme="minorHAnsi" w:cstheme="minorHAnsi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Ostvareno u izv</w:t>
            </w:r>
            <w:r w:rsidRPr="0034553C">
              <w:rPr>
                <w:rFonts w:asciiTheme="minorHAnsi" w:hAnsiTheme="minorHAnsi" w:cstheme="minorHAnsi"/>
                <w:b/>
                <w:sz w:val="18"/>
              </w:rPr>
              <w:t>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Indeks (%)</w:t>
            </w:r>
          </w:p>
        </w:tc>
      </w:tr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4.334.745,02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5.041.088,18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116,3</w:t>
            </w:r>
          </w:p>
        </w:tc>
      </w:tr>
    </w:tbl>
    <w:p w:rsidR="00712A48" w:rsidRPr="0034553C" w:rsidRDefault="00712A48">
      <w:pPr>
        <w:spacing w:after="0"/>
        <w:rPr>
          <w:rFonts w:asciiTheme="minorHAnsi" w:hAnsiTheme="minorHAnsi" w:cstheme="minorHAnsi"/>
        </w:rPr>
      </w:pPr>
    </w:p>
    <w:p w:rsidR="00712A48" w:rsidRPr="0034553C" w:rsidRDefault="0034553C" w:rsidP="0034553C">
      <w:pPr>
        <w:jc w:val="both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</w:rPr>
        <w:t xml:space="preserve">Ukupni rashodi prema funkciji za više srednjoškolsko obrazovanje za 2025. godinu iznose 5.021.396,17 </w:t>
      </w:r>
      <w:proofErr w:type="spellStart"/>
      <w:r w:rsidRPr="0034553C">
        <w:rPr>
          <w:rFonts w:asciiTheme="minorHAnsi" w:hAnsiTheme="minorHAnsi" w:cstheme="minorHAnsi"/>
        </w:rPr>
        <w:t>eur</w:t>
      </w:r>
      <w:proofErr w:type="spellEnd"/>
      <w:r w:rsidRPr="0034553C">
        <w:rPr>
          <w:rFonts w:asciiTheme="minorHAnsi" w:hAnsiTheme="minorHAnsi" w:cstheme="minorHAnsi"/>
        </w:rPr>
        <w:t xml:space="preserve">. Usluge obrazovanja koje nisu drugdje svrstane u iznosu od 17.392,28 </w:t>
      </w:r>
      <w:proofErr w:type="spellStart"/>
      <w:r w:rsidRPr="0034553C">
        <w:rPr>
          <w:rFonts w:asciiTheme="minorHAnsi" w:hAnsiTheme="minorHAnsi" w:cstheme="minorHAnsi"/>
        </w:rPr>
        <w:t>eur</w:t>
      </w:r>
      <w:proofErr w:type="spellEnd"/>
      <w:r w:rsidRPr="0034553C">
        <w:rPr>
          <w:rFonts w:asciiTheme="minorHAnsi" w:hAnsiTheme="minorHAnsi" w:cstheme="minorHAnsi"/>
        </w:rPr>
        <w:t xml:space="preserve"> odnose se na sredstva dobivena radi opskrbe školskih ustanova besplatnim zalih</w:t>
      </w:r>
      <w:r w:rsidRPr="0034553C">
        <w:rPr>
          <w:rFonts w:asciiTheme="minorHAnsi" w:hAnsiTheme="minorHAnsi" w:cstheme="minorHAnsi"/>
        </w:rPr>
        <w:t>ama menstrualnih higijenskih potrepština, a temeljem Odluke Ministarstva rada, mirovinskog sustava, obitelji i socijalne politike Republike Hrvatske te na usluge obrazovanja odraslih za zanimanje Operativni djelatnik, a ostvarenih preko vaučera HZZ-a.</w:t>
      </w:r>
    </w:p>
    <w:p w:rsidR="00712A48" w:rsidRPr="0034553C" w:rsidRDefault="00712A48">
      <w:pPr>
        <w:rPr>
          <w:rFonts w:asciiTheme="minorHAnsi" w:hAnsiTheme="minorHAnsi" w:cstheme="minorHAnsi"/>
        </w:rPr>
      </w:pPr>
    </w:p>
    <w:p w:rsidR="00712A48" w:rsidRPr="0034553C" w:rsidRDefault="0034553C">
      <w:pPr>
        <w:keepNext/>
        <w:spacing w:line="240" w:lineRule="auto"/>
        <w:jc w:val="center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  <w:b/>
          <w:sz w:val="28"/>
        </w:rPr>
        <w:lastRenderedPageBreak/>
        <w:t>Pro</w:t>
      </w:r>
      <w:r w:rsidRPr="0034553C">
        <w:rPr>
          <w:rFonts w:asciiTheme="minorHAnsi" w:hAnsiTheme="minorHAnsi" w:cstheme="minorHAnsi"/>
          <w:b/>
          <w:sz w:val="28"/>
        </w:rPr>
        <w:t>mjene u vrijednosti i obujmu imovine i obveza</w:t>
      </w:r>
    </w:p>
    <w:p w:rsidR="00712A48" w:rsidRPr="0034553C" w:rsidRDefault="0034553C">
      <w:pPr>
        <w:keepNext/>
        <w:spacing w:line="240" w:lineRule="auto"/>
        <w:jc w:val="center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 xml:space="preserve">Račun iz </w:t>
            </w:r>
            <w:proofErr w:type="spellStart"/>
            <w:r w:rsidRPr="0034553C">
              <w:rPr>
                <w:rFonts w:asciiTheme="minorHAnsi" w:hAnsiTheme="minorHAnsi" w:cstheme="minorHAnsi"/>
                <w:b/>
                <w:sz w:val="18"/>
              </w:rPr>
              <w:t>rač</w:t>
            </w:r>
            <w:proofErr w:type="spellEnd"/>
            <w:r w:rsidRPr="0034553C">
              <w:rPr>
                <w:rFonts w:asciiTheme="minorHAnsi" w:hAnsiTheme="minorHAnsi" w:cstheme="minorHAnsi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Indeks (%)</w:t>
            </w:r>
          </w:p>
        </w:tc>
      </w:tr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91511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Promjene u vrijednosti imovine (šifre P001+P008)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91511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30,00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167.894,88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&gt;&gt;100</w:t>
            </w:r>
          </w:p>
        </w:tc>
      </w:tr>
    </w:tbl>
    <w:p w:rsidR="00712A48" w:rsidRPr="0034553C" w:rsidRDefault="00712A48">
      <w:pPr>
        <w:spacing w:after="0"/>
        <w:rPr>
          <w:rFonts w:asciiTheme="minorHAnsi" w:hAnsiTheme="minorHAnsi" w:cstheme="minorHAnsi"/>
        </w:rPr>
      </w:pPr>
    </w:p>
    <w:p w:rsidR="00712A48" w:rsidRPr="0034553C" w:rsidRDefault="0034553C" w:rsidP="0034553C">
      <w:pPr>
        <w:jc w:val="both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</w:rPr>
        <w:t xml:space="preserve">U izvještajnom razdoblju od 01.01.2025. do 31.12.2025. došlo je do povećanja vrijednosti imovine škole za knjige dobivene od Osnivača. Iskazano je i smanjenje proizvedene dugotrajne imovine, tj. promjene u obujmu imovine, a odnosi se na neamortizirani dio </w:t>
      </w:r>
      <w:r w:rsidRPr="0034553C">
        <w:rPr>
          <w:rFonts w:asciiTheme="minorHAnsi" w:hAnsiTheme="minorHAnsi" w:cstheme="minorHAnsi"/>
        </w:rPr>
        <w:t>osnovnih sredstava koja su rashodovana i odvezena na otpad te iznos obračuna ispravka vrijednosti imovine škole.</w:t>
      </w:r>
    </w:p>
    <w:p w:rsidR="00712A48" w:rsidRPr="0034553C" w:rsidRDefault="00712A48">
      <w:pPr>
        <w:rPr>
          <w:rFonts w:asciiTheme="minorHAnsi" w:hAnsiTheme="minorHAnsi" w:cstheme="minorHAnsi"/>
        </w:rPr>
      </w:pPr>
    </w:p>
    <w:p w:rsidR="00712A48" w:rsidRPr="0034553C" w:rsidRDefault="0034553C">
      <w:pPr>
        <w:keepNext/>
        <w:spacing w:line="240" w:lineRule="auto"/>
        <w:jc w:val="center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  <w:b/>
          <w:sz w:val="28"/>
        </w:rPr>
        <w:t>Izvještaj o obvezama</w:t>
      </w:r>
    </w:p>
    <w:p w:rsidR="00712A48" w:rsidRPr="0034553C" w:rsidRDefault="0034553C">
      <w:pPr>
        <w:keepNext/>
        <w:spacing w:line="240" w:lineRule="auto"/>
        <w:jc w:val="center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 xml:space="preserve">Račun iz </w:t>
            </w:r>
            <w:proofErr w:type="spellStart"/>
            <w:r w:rsidRPr="0034553C">
              <w:rPr>
                <w:rFonts w:asciiTheme="minorHAnsi" w:hAnsiTheme="minorHAnsi" w:cstheme="minorHAnsi"/>
                <w:b/>
                <w:sz w:val="18"/>
              </w:rPr>
              <w:t>rač</w:t>
            </w:r>
            <w:proofErr w:type="spellEnd"/>
            <w:r w:rsidRPr="0034553C">
              <w:rPr>
                <w:rFonts w:asciiTheme="minorHAnsi" w:hAnsiTheme="minorHAnsi" w:cstheme="minorHAnsi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Indeks (%)</w:t>
            </w:r>
          </w:p>
        </w:tc>
      </w:tr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712A48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 xml:space="preserve">Stanje obveza na kraju izvještajnog razdoblja </w:t>
            </w:r>
            <w:r w:rsidRPr="0034553C">
              <w:rPr>
                <w:rFonts w:asciiTheme="minorHAnsi" w:hAnsiTheme="minorHAnsi" w:cstheme="minorHAnsi"/>
                <w:sz w:val="18"/>
              </w:rPr>
              <w:t>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418.482,42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-</w:t>
            </w:r>
          </w:p>
        </w:tc>
      </w:tr>
    </w:tbl>
    <w:p w:rsidR="00712A48" w:rsidRPr="0034553C" w:rsidRDefault="00712A48">
      <w:pPr>
        <w:spacing w:after="0"/>
        <w:rPr>
          <w:rFonts w:asciiTheme="minorHAnsi" w:hAnsiTheme="minorHAnsi" w:cstheme="minorHAnsi"/>
        </w:rPr>
      </w:pPr>
    </w:p>
    <w:p w:rsidR="00712A48" w:rsidRPr="0034553C" w:rsidRDefault="0034553C" w:rsidP="0034553C">
      <w:pPr>
        <w:jc w:val="both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</w:rPr>
        <w:t xml:space="preserve">Ukupne nepodmirene obveze na kraju izvještajnog  razdoblja iznose 418.482,42 </w:t>
      </w:r>
      <w:proofErr w:type="spellStart"/>
      <w:r w:rsidRPr="0034553C">
        <w:rPr>
          <w:rFonts w:asciiTheme="minorHAnsi" w:hAnsiTheme="minorHAnsi" w:cstheme="minorHAnsi"/>
        </w:rPr>
        <w:t>eur</w:t>
      </w:r>
      <w:proofErr w:type="spellEnd"/>
      <w:r w:rsidRPr="0034553C">
        <w:rPr>
          <w:rFonts w:asciiTheme="minorHAnsi" w:hAnsiTheme="minorHAnsi" w:cstheme="minorHAnsi"/>
        </w:rPr>
        <w:t>. Najvećim dijelom sadrže obveze za plaće za prosinac 2025. godine koje dospijevaju u siječnju 2025. godine, dok se obveze za materijalne rashode poslovanja odnose na fakture z</w:t>
      </w:r>
      <w:r w:rsidRPr="0034553C">
        <w:rPr>
          <w:rFonts w:asciiTheme="minorHAnsi" w:hAnsiTheme="minorHAnsi" w:cstheme="minorHAnsi"/>
        </w:rPr>
        <w:t xml:space="preserve">a režijske troškove za studeni i prosinac sa dospijećem u siječnju i veljači 2026. te iste zbog tehnike plaćanja u 2025. godini nisu mogle biti podmirene, već su podmirene početkom 2026. godine. Ostale tekuće obveze odnose se na obveze za uplatu Poreza na </w:t>
      </w:r>
      <w:r w:rsidRPr="0034553C">
        <w:rPr>
          <w:rFonts w:asciiTheme="minorHAnsi" w:hAnsiTheme="minorHAnsi" w:cstheme="minorHAnsi"/>
        </w:rPr>
        <w:t>dodanu vrijednost za obračunsko razdoblje prosinac 2025. godine.</w:t>
      </w:r>
    </w:p>
    <w:p w:rsidR="00712A48" w:rsidRPr="0034553C" w:rsidRDefault="00712A48">
      <w:pPr>
        <w:rPr>
          <w:rFonts w:asciiTheme="minorHAnsi" w:hAnsiTheme="minorHAnsi" w:cstheme="minorHAnsi"/>
        </w:rPr>
      </w:pPr>
    </w:p>
    <w:p w:rsidR="00712A48" w:rsidRPr="0034553C" w:rsidRDefault="0034553C">
      <w:pPr>
        <w:keepNext/>
        <w:spacing w:line="240" w:lineRule="auto"/>
        <w:jc w:val="center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 xml:space="preserve">Račun iz </w:t>
            </w:r>
            <w:proofErr w:type="spellStart"/>
            <w:r w:rsidRPr="0034553C">
              <w:rPr>
                <w:rFonts w:asciiTheme="minorHAnsi" w:hAnsiTheme="minorHAnsi" w:cstheme="minorHAnsi"/>
                <w:b/>
                <w:sz w:val="18"/>
              </w:rPr>
              <w:t>rač</w:t>
            </w:r>
            <w:proofErr w:type="spellEnd"/>
            <w:r w:rsidRPr="0034553C">
              <w:rPr>
                <w:rFonts w:asciiTheme="minorHAnsi" w:hAnsiTheme="minorHAnsi" w:cstheme="minorHAnsi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b/>
                <w:sz w:val="18"/>
              </w:rPr>
              <w:t>Indeks (%)</w:t>
            </w:r>
          </w:p>
        </w:tc>
      </w:tr>
      <w:tr w:rsidR="00712A48" w:rsidRPr="0034553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712A48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13.475,83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2A48" w:rsidRPr="0034553C" w:rsidRDefault="0034553C">
            <w:pPr>
              <w:keepNext/>
              <w:keepLines/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4553C">
              <w:rPr>
                <w:rFonts w:asciiTheme="minorHAnsi" w:hAnsiTheme="minorHAnsi" w:cstheme="minorHAnsi"/>
                <w:sz w:val="18"/>
              </w:rPr>
              <w:t>-</w:t>
            </w:r>
          </w:p>
        </w:tc>
      </w:tr>
    </w:tbl>
    <w:p w:rsidR="00712A48" w:rsidRPr="0034553C" w:rsidRDefault="00712A48">
      <w:pPr>
        <w:spacing w:after="0"/>
        <w:rPr>
          <w:rFonts w:asciiTheme="minorHAnsi" w:hAnsiTheme="minorHAnsi" w:cstheme="minorHAnsi"/>
        </w:rPr>
      </w:pPr>
    </w:p>
    <w:p w:rsidR="00712A48" w:rsidRPr="0034553C" w:rsidRDefault="0034553C" w:rsidP="0034553C">
      <w:pPr>
        <w:jc w:val="both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</w:rPr>
        <w:t xml:space="preserve">Sve dospjele, a neplaćene obveze na dan 31.12.2025. su u prekoračenju od 1-60 dana i odnose se na obveze za materijalne rashode te su podmirene u siječnju 2025. godine. Razlog kašnjenja sa plaćanjem troškova jest uvođenje </w:t>
      </w:r>
      <w:proofErr w:type="spellStart"/>
      <w:r w:rsidRPr="0034553C">
        <w:rPr>
          <w:rFonts w:asciiTheme="minorHAnsi" w:hAnsiTheme="minorHAnsi" w:cstheme="minorHAnsi"/>
        </w:rPr>
        <w:t>Fiskalizacije</w:t>
      </w:r>
      <w:proofErr w:type="spellEnd"/>
      <w:r w:rsidRPr="0034553C">
        <w:rPr>
          <w:rFonts w:asciiTheme="minorHAnsi" w:hAnsiTheme="minorHAnsi" w:cstheme="minorHAnsi"/>
        </w:rPr>
        <w:t xml:space="preserve"> 2.0 te su računi kas</w:t>
      </w:r>
      <w:r w:rsidRPr="0034553C">
        <w:rPr>
          <w:rFonts w:asciiTheme="minorHAnsi" w:hAnsiTheme="minorHAnsi" w:cstheme="minorHAnsi"/>
        </w:rPr>
        <w:t>nili u izdavanju i stizali su nakon 31.12.2025.</w:t>
      </w:r>
    </w:p>
    <w:p w:rsidR="00712A48" w:rsidRPr="0034553C" w:rsidRDefault="00712A48">
      <w:pPr>
        <w:rPr>
          <w:rFonts w:asciiTheme="minorHAnsi" w:hAnsiTheme="minorHAnsi" w:cstheme="minorHAnsi"/>
        </w:rPr>
      </w:pPr>
    </w:p>
    <w:p w:rsidR="00712A48" w:rsidRPr="0034553C" w:rsidRDefault="0034553C">
      <w:pPr>
        <w:keepNext/>
        <w:spacing w:line="240" w:lineRule="auto"/>
        <w:jc w:val="center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  <w:sz w:val="28"/>
        </w:rPr>
        <w:lastRenderedPageBreak/>
        <w:t>Bilješka 38.</w:t>
      </w:r>
    </w:p>
    <w:p w:rsidR="00712A48" w:rsidRPr="0034553C" w:rsidRDefault="0034553C" w:rsidP="0034553C">
      <w:pPr>
        <w:spacing w:line="240" w:lineRule="auto"/>
        <w:jc w:val="both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  <w:b/>
        </w:rPr>
        <w:t>EU izvještaj</w:t>
      </w:r>
    </w:p>
    <w:p w:rsidR="00712A48" w:rsidRPr="0034553C" w:rsidRDefault="0034553C" w:rsidP="0034553C">
      <w:pPr>
        <w:jc w:val="both"/>
        <w:rPr>
          <w:rFonts w:asciiTheme="minorHAnsi" w:hAnsiTheme="minorHAnsi" w:cstheme="minorHAnsi"/>
        </w:rPr>
      </w:pPr>
      <w:r w:rsidRPr="0034553C">
        <w:rPr>
          <w:rFonts w:asciiTheme="minorHAnsi" w:hAnsiTheme="minorHAnsi" w:cstheme="minorHAnsi"/>
        </w:rPr>
        <w:t xml:space="preserve">Škola je sudjelovala u provođenju Erasmus + projekta „Digital </w:t>
      </w:r>
      <w:proofErr w:type="spellStart"/>
      <w:r w:rsidRPr="0034553C">
        <w:rPr>
          <w:rFonts w:asciiTheme="minorHAnsi" w:hAnsiTheme="minorHAnsi" w:cstheme="minorHAnsi"/>
        </w:rPr>
        <w:t>literacy</w:t>
      </w:r>
      <w:proofErr w:type="spellEnd"/>
      <w:r w:rsidRPr="0034553C">
        <w:rPr>
          <w:rFonts w:asciiTheme="minorHAnsi" w:hAnsiTheme="minorHAnsi" w:cstheme="minorHAnsi"/>
        </w:rPr>
        <w:t xml:space="preserve"> – </w:t>
      </w:r>
      <w:proofErr w:type="spellStart"/>
      <w:r w:rsidRPr="0034553C">
        <w:rPr>
          <w:rFonts w:asciiTheme="minorHAnsi" w:hAnsiTheme="minorHAnsi" w:cstheme="minorHAnsi"/>
        </w:rPr>
        <w:t>readness</w:t>
      </w:r>
      <w:proofErr w:type="spellEnd"/>
      <w:r w:rsidRPr="0034553C">
        <w:rPr>
          <w:rFonts w:asciiTheme="minorHAnsi" w:hAnsiTheme="minorHAnsi" w:cstheme="minorHAnsi"/>
        </w:rPr>
        <w:t xml:space="preserve"> 4ALL“ u toku 2024. i 2025. godine. Projekt je završen zadnjom uplatom po projektu u 2025. godini.</w:t>
      </w:r>
    </w:p>
    <w:p w:rsidR="00712A48" w:rsidRDefault="00712A48" w:rsidP="0034553C">
      <w:pPr>
        <w:jc w:val="both"/>
        <w:rPr>
          <w:rFonts w:asciiTheme="minorHAnsi" w:hAnsiTheme="minorHAnsi" w:cstheme="minorHAnsi"/>
        </w:rPr>
      </w:pPr>
    </w:p>
    <w:p w:rsidR="0034553C" w:rsidRDefault="0034553C" w:rsidP="0034553C">
      <w:pPr>
        <w:jc w:val="both"/>
        <w:rPr>
          <w:rFonts w:asciiTheme="minorHAnsi" w:hAnsiTheme="minorHAnsi" w:cstheme="minorHAnsi"/>
        </w:rPr>
      </w:pPr>
    </w:p>
    <w:p w:rsidR="0034553C" w:rsidRDefault="0034553C" w:rsidP="0034553C">
      <w:pPr>
        <w:spacing w:line="276" w:lineRule="auto"/>
        <w:ind w:firstLine="72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Bilješke uz financijske izvještaje čine sastavni dio financijskih izvještaja te služe kao dodatni izvor podataka, a sastavljene su temeljem članka 12. Pravilnika o financijskom izvještavanju u proračunskom računovodstvo (NN 3/15, 93/15, 135/15, 37/22).</w:t>
      </w:r>
    </w:p>
    <w:p w:rsidR="0034553C" w:rsidRDefault="0034553C" w:rsidP="0034553C">
      <w:pPr>
        <w:spacing w:line="276" w:lineRule="auto"/>
        <w:rPr>
          <w:rFonts w:ascii="Calibri" w:hAnsi="Calibri"/>
          <w:b/>
          <w:bCs/>
        </w:rPr>
      </w:pPr>
    </w:p>
    <w:p w:rsidR="0034553C" w:rsidRDefault="0034553C" w:rsidP="0034553C">
      <w:pPr>
        <w:spacing w:line="276" w:lineRule="auto"/>
        <w:rPr>
          <w:rFonts w:ascii="Calibri" w:hAnsi="Calibri"/>
          <w:b/>
          <w:bCs/>
        </w:rPr>
      </w:pPr>
    </w:p>
    <w:p w:rsidR="0034553C" w:rsidRPr="001B48E6" w:rsidRDefault="0034553C" w:rsidP="0034553C">
      <w:pPr>
        <w:spacing w:line="276" w:lineRule="auto"/>
        <w:rPr>
          <w:rFonts w:ascii="Calibri" w:hAnsi="Calibri"/>
          <w:b/>
          <w:bCs/>
        </w:rPr>
      </w:pPr>
    </w:p>
    <w:p w:rsidR="0034553C" w:rsidRPr="001B48E6" w:rsidRDefault="0034553C" w:rsidP="0034553C">
      <w:pPr>
        <w:spacing w:line="276" w:lineRule="auto"/>
        <w:rPr>
          <w:rFonts w:ascii="Calibri" w:hAnsi="Calibri"/>
          <w:b/>
          <w:bCs/>
        </w:rPr>
      </w:pPr>
    </w:p>
    <w:p w:rsidR="0034553C" w:rsidRPr="001B48E6" w:rsidRDefault="0034553C" w:rsidP="0034553C">
      <w:pPr>
        <w:spacing w:line="276" w:lineRule="auto"/>
        <w:rPr>
          <w:rFonts w:ascii="Calibri" w:hAnsi="Calibri"/>
        </w:rPr>
      </w:pPr>
      <w:r w:rsidRPr="001B48E6">
        <w:rPr>
          <w:rFonts w:ascii="Calibri" w:hAnsi="Calibri"/>
        </w:rPr>
        <w:t xml:space="preserve">U Varaždinu, </w:t>
      </w:r>
      <w:r>
        <w:rPr>
          <w:rFonts w:ascii="Calibri" w:hAnsi="Calibri"/>
        </w:rPr>
        <w:t>3</w:t>
      </w:r>
      <w:r>
        <w:rPr>
          <w:rFonts w:ascii="Calibri" w:hAnsi="Calibri"/>
        </w:rPr>
        <w:t>0</w:t>
      </w:r>
      <w:r>
        <w:rPr>
          <w:rFonts w:ascii="Calibri" w:hAnsi="Calibri"/>
        </w:rPr>
        <w:t>.01.202</w:t>
      </w:r>
      <w:r>
        <w:rPr>
          <w:rFonts w:ascii="Calibri" w:hAnsi="Calibri"/>
        </w:rPr>
        <w:t>6</w:t>
      </w:r>
      <w:r w:rsidRPr="001B48E6">
        <w:rPr>
          <w:rFonts w:ascii="Calibri" w:hAnsi="Calibri"/>
        </w:rPr>
        <w:t>.</w:t>
      </w:r>
    </w:p>
    <w:p w:rsidR="0034553C" w:rsidRPr="001B48E6" w:rsidRDefault="0034553C" w:rsidP="0034553C">
      <w:pPr>
        <w:spacing w:line="276" w:lineRule="auto"/>
        <w:rPr>
          <w:rFonts w:ascii="Calibri" w:hAnsi="Calibri"/>
        </w:rPr>
      </w:pPr>
    </w:p>
    <w:p w:rsidR="0034553C" w:rsidRPr="001B48E6" w:rsidRDefault="0034553C" w:rsidP="0034553C">
      <w:pPr>
        <w:spacing w:line="276" w:lineRule="auto"/>
        <w:rPr>
          <w:rFonts w:ascii="Calibri" w:hAnsi="Calibri"/>
        </w:rPr>
      </w:pPr>
      <w:r w:rsidRPr="001B48E6">
        <w:rPr>
          <w:rFonts w:ascii="Calibri" w:hAnsi="Calibri"/>
        </w:rPr>
        <w:t>Voditelj računovodstva: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Ravnatelj:</w:t>
      </w:r>
    </w:p>
    <w:p w:rsidR="0034553C" w:rsidRDefault="0034553C" w:rsidP="0034553C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Jelena </w:t>
      </w:r>
      <w:proofErr w:type="spellStart"/>
      <w:r>
        <w:rPr>
          <w:rFonts w:ascii="Calibri" w:hAnsi="Calibri"/>
        </w:rPr>
        <w:t>Stapić</w:t>
      </w:r>
      <w:proofErr w:type="spellEnd"/>
      <w:r>
        <w:rPr>
          <w:rFonts w:ascii="Calibri" w:hAnsi="Calibri"/>
        </w:rPr>
        <w:t xml:space="preserve">, dipl. </w:t>
      </w:r>
      <w:proofErr w:type="spellStart"/>
      <w:r>
        <w:rPr>
          <w:rFonts w:ascii="Calibri" w:hAnsi="Calibri"/>
        </w:rPr>
        <w:t>oec</w:t>
      </w:r>
      <w:proofErr w:type="spellEnd"/>
      <w:r>
        <w:rPr>
          <w:rFonts w:ascii="Calibri" w:hAnsi="Calibri"/>
        </w:rPr>
        <w:t>.</w:t>
      </w:r>
      <w:r>
        <w:rPr>
          <w:rFonts w:ascii="Calibri" w:hAnsi="Calibri"/>
        </w:rPr>
        <w:t xml:space="preserve">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Stjepan Ostroški, </w:t>
      </w:r>
      <w:proofErr w:type="spellStart"/>
      <w:r>
        <w:rPr>
          <w:rFonts w:ascii="Calibri" w:hAnsi="Calibri"/>
        </w:rPr>
        <w:t>dipl.ing</w:t>
      </w:r>
      <w:proofErr w:type="spellEnd"/>
      <w:r>
        <w:rPr>
          <w:rFonts w:ascii="Calibri" w:hAnsi="Calibri"/>
        </w:rPr>
        <w:t>.</w:t>
      </w:r>
    </w:p>
    <w:p w:rsidR="0034553C" w:rsidRDefault="0034553C" w:rsidP="0034553C">
      <w:pPr>
        <w:spacing w:line="276" w:lineRule="auto"/>
        <w:rPr>
          <w:rFonts w:ascii="Calibri" w:hAnsi="Calibri"/>
        </w:rPr>
      </w:pPr>
    </w:p>
    <w:p w:rsidR="0034553C" w:rsidRPr="001B48E6" w:rsidRDefault="0034553C" w:rsidP="0034553C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_________________________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____________________</w:t>
      </w:r>
    </w:p>
    <w:p w:rsidR="0034553C" w:rsidRPr="0034553C" w:rsidRDefault="0034553C">
      <w:pPr>
        <w:rPr>
          <w:rFonts w:asciiTheme="minorHAnsi" w:hAnsiTheme="minorHAnsi" w:cstheme="minorHAnsi"/>
        </w:rPr>
      </w:pPr>
    </w:p>
    <w:sectPr w:rsidR="0034553C" w:rsidRPr="003455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A48"/>
    <w:rsid w:val="0034553C"/>
    <w:rsid w:val="0071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7B084"/>
  <w15:docId w15:val="{5BBEF4A4-CB41-4EBE-A0E2-49F18FC2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3612</Words>
  <Characters>20592</Characters>
  <Application>Microsoft Office Word</Application>
  <DocSecurity>0</DocSecurity>
  <Lines>171</Lines>
  <Paragraphs>48</Paragraphs>
  <ScaleCrop>false</ScaleCrop>
  <Company/>
  <LinksUpToDate>false</LinksUpToDate>
  <CharactersWithSpaces>24156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Racunovodstvo</cp:lastModifiedBy>
  <cp:revision>2</cp:revision>
  <dcterms:created xsi:type="dcterms:W3CDTF">2026-01-30T12:14:00Z</dcterms:created>
  <dcterms:modified xsi:type="dcterms:W3CDTF">2026-01-30T12:20:00Z</dcterms:modified>
</cp:coreProperties>
</file>